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BF8" w:rsidRPr="007E46A3" w:rsidRDefault="0045267C" w:rsidP="00627BF8">
      <w:pPr>
        <w:pStyle w:val="Header"/>
        <w:tabs>
          <w:tab w:val="right" w:pos="8280"/>
          <w:tab w:val="right" w:pos="9639"/>
        </w:tabs>
        <w:jc w:val="both"/>
        <w:rPr>
          <w:rFonts w:cs="Arial"/>
          <w:noProof w:val="0"/>
          <w:sz w:val="24"/>
          <w:lang w:val="en-GB"/>
        </w:rPr>
      </w:pPr>
      <w:r>
        <w:rPr>
          <w:rFonts w:cs="Arial"/>
          <w:sz w:val="24"/>
          <w:szCs w:val="24"/>
        </w:rPr>
        <w:t>3GPP TSG-RAN WG4 Meeting #90</w:t>
      </w:r>
      <w:r w:rsidR="00EB4CAA">
        <w:rPr>
          <w:rFonts w:cs="Arial"/>
          <w:sz w:val="24"/>
          <w:szCs w:val="24"/>
        </w:rPr>
        <w:t>Bis</w:t>
      </w:r>
      <w:r w:rsidR="00627BF8" w:rsidRPr="007E46A3">
        <w:rPr>
          <w:rFonts w:cs="Arial"/>
          <w:noProof w:val="0"/>
          <w:sz w:val="24"/>
          <w:lang w:val="en-GB"/>
        </w:rPr>
        <w:tab/>
      </w:r>
      <w:r w:rsidR="003912B7">
        <w:rPr>
          <w:rFonts w:cs="Arial"/>
          <w:noProof w:val="0"/>
          <w:sz w:val="24"/>
          <w:lang w:val="en-GB"/>
        </w:rPr>
        <w:tab/>
      </w:r>
      <w:r w:rsidR="00C16FCA" w:rsidRPr="00C16FCA">
        <w:rPr>
          <w:rFonts w:cs="Arial"/>
          <w:noProof w:val="0"/>
          <w:sz w:val="24"/>
          <w:lang w:val="en-GB"/>
        </w:rPr>
        <w:t>R4-</w:t>
      </w:r>
      <w:r w:rsidR="00EB4CAA" w:rsidRPr="00EB4CAA">
        <w:rPr>
          <w:rFonts w:cs="Arial"/>
          <w:noProof w:val="0"/>
          <w:sz w:val="24"/>
          <w:lang w:val="en-GB"/>
        </w:rPr>
        <w:t>1903125</w:t>
      </w:r>
    </w:p>
    <w:p w:rsidR="00627BF8" w:rsidRPr="002056B8" w:rsidRDefault="00EB4CAA" w:rsidP="00627BF8">
      <w:pPr>
        <w:pStyle w:val="Header"/>
        <w:rPr>
          <w:noProof w:val="0"/>
          <w:sz w:val="24"/>
          <w:szCs w:val="24"/>
          <w:lang w:val="en-GB" w:eastAsia="zh-CN"/>
        </w:rPr>
      </w:pPr>
      <w:r>
        <w:rPr>
          <w:noProof w:val="0"/>
          <w:sz w:val="24"/>
          <w:szCs w:val="24"/>
          <w:lang w:val="en-GB" w:eastAsia="zh-CN"/>
        </w:rPr>
        <w:t>Xi’An</w:t>
      </w:r>
      <w:r w:rsidR="0045267C">
        <w:rPr>
          <w:noProof w:val="0"/>
          <w:sz w:val="24"/>
          <w:szCs w:val="24"/>
          <w:lang w:val="en-GB" w:eastAsia="zh-CN"/>
        </w:rPr>
        <w:t>,</w:t>
      </w:r>
      <w:r w:rsidR="00E41DB4">
        <w:rPr>
          <w:noProof w:val="0"/>
          <w:sz w:val="24"/>
          <w:szCs w:val="24"/>
          <w:lang w:val="en-GB" w:eastAsia="zh-CN"/>
        </w:rPr>
        <w:t xml:space="preserve"> </w:t>
      </w:r>
      <w:r>
        <w:rPr>
          <w:noProof w:val="0"/>
          <w:sz w:val="24"/>
          <w:szCs w:val="24"/>
          <w:lang w:val="en-GB" w:eastAsia="zh-CN"/>
        </w:rPr>
        <w:t>8</w:t>
      </w:r>
      <w:r w:rsidR="0045267C">
        <w:rPr>
          <w:noProof w:val="0"/>
          <w:sz w:val="24"/>
          <w:szCs w:val="24"/>
          <w:lang w:val="en-GB" w:eastAsia="zh-CN"/>
        </w:rPr>
        <w:t xml:space="preserve"> </w:t>
      </w:r>
      <w:r>
        <w:rPr>
          <w:noProof w:val="0"/>
          <w:sz w:val="24"/>
          <w:szCs w:val="24"/>
          <w:lang w:val="en-GB" w:eastAsia="zh-CN"/>
        </w:rPr>
        <w:t>April</w:t>
      </w:r>
      <w:r w:rsidR="00E41DB4">
        <w:rPr>
          <w:noProof w:val="0"/>
          <w:sz w:val="24"/>
          <w:szCs w:val="24"/>
          <w:lang w:val="en-GB" w:eastAsia="zh-CN"/>
        </w:rPr>
        <w:t xml:space="preserve"> – 1</w:t>
      </w:r>
      <w:r>
        <w:rPr>
          <w:noProof w:val="0"/>
          <w:sz w:val="24"/>
          <w:szCs w:val="24"/>
          <w:lang w:val="en-GB" w:eastAsia="zh-CN"/>
        </w:rPr>
        <w:t>2</w:t>
      </w:r>
      <w:r w:rsidR="00E41DB4" w:rsidRPr="006514DE">
        <w:rPr>
          <w:noProof w:val="0"/>
          <w:sz w:val="24"/>
          <w:szCs w:val="24"/>
          <w:lang w:val="en-GB" w:eastAsia="zh-CN"/>
        </w:rPr>
        <w:t xml:space="preserve"> </w:t>
      </w:r>
      <w:r>
        <w:rPr>
          <w:noProof w:val="0"/>
          <w:sz w:val="24"/>
          <w:szCs w:val="24"/>
          <w:lang w:val="en-GB" w:eastAsia="zh-CN"/>
        </w:rPr>
        <w:t>April</w:t>
      </w:r>
      <w:r w:rsidR="00E41DB4">
        <w:rPr>
          <w:noProof w:val="0"/>
          <w:sz w:val="24"/>
          <w:szCs w:val="24"/>
          <w:lang w:val="en-GB" w:eastAsia="zh-CN"/>
        </w:rPr>
        <w:t xml:space="preserve"> </w:t>
      </w:r>
      <w:r w:rsidR="0045267C">
        <w:rPr>
          <w:noProof w:val="0"/>
          <w:sz w:val="24"/>
          <w:szCs w:val="24"/>
          <w:lang w:val="en-GB" w:eastAsia="zh-CN"/>
        </w:rPr>
        <w:t>2019</w:t>
      </w:r>
    </w:p>
    <w:p w:rsidR="00D142BC" w:rsidRPr="001678ED" w:rsidRDefault="00D142BC" w:rsidP="00D142BC">
      <w:pPr>
        <w:tabs>
          <w:tab w:val="left" w:pos="1985"/>
        </w:tabs>
        <w:spacing w:before="0" w:after="0"/>
        <w:ind w:left="1975" w:hangingChars="823" w:hanging="1975"/>
        <w:jc w:val="both"/>
        <w:rPr>
          <w:rFonts w:ascii="Arial" w:hAnsi="Arial" w:cs="Arial"/>
          <w:sz w:val="24"/>
          <w:highlight w:val="yellow"/>
        </w:rPr>
      </w:pPr>
    </w:p>
    <w:p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0" w:name="Source"/>
      <w:bookmarkEnd w:id="0"/>
      <w:r w:rsidR="00EB4CAA">
        <w:rPr>
          <w:rFonts w:ascii="Arial" w:hAnsi="Arial" w:cs="Arial"/>
          <w:b/>
          <w:sz w:val="24"/>
        </w:rPr>
        <w:t>8.4.2</w:t>
      </w:r>
      <w:bookmarkStart w:id="1" w:name="_GoBack"/>
      <w:bookmarkEnd w:id="1"/>
    </w:p>
    <w:p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t>Intel Corporation</w:t>
      </w:r>
    </w:p>
    <w:p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3912B7">
        <w:rPr>
          <w:rFonts w:ascii="Arial" w:hAnsi="Arial" w:cs="Arial"/>
          <w:b/>
          <w:sz w:val="24"/>
        </w:rPr>
        <w:t xml:space="preserve">On NR V2X </w:t>
      </w:r>
      <w:r w:rsidR="0045267C">
        <w:rPr>
          <w:rFonts w:ascii="Arial" w:hAnsi="Arial" w:cs="Arial"/>
          <w:b/>
          <w:sz w:val="24"/>
        </w:rPr>
        <w:t>in-band emission model</w:t>
      </w:r>
    </w:p>
    <w:p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45267C">
        <w:rPr>
          <w:rFonts w:ascii="Arial" w:hAnsi="Arial" w:cs="Arial"/>
          <w:b/>
          <w:sz w:val="24"/>
        </w:rPr>
        <w:t>Approval</w:t>
      </w:r>
    </w:p>
    <w:p w:rsidR="004B515E" w:rsidRPr="00224A01" w:rsidRDefault="004B515E" w:rsidP="009C2D12">
      <w:pPr>
        <w:pStyle w:val="Heading1"/>
        <w:rPr>
          <w:lang w:val="en-US" w:eastAsia="zh-CN"/>
        </w:rPr>
      </w:pPr>
      <w:r w:rsidRPr="00224A01">
        <w:rPr>
          <w:lang w:val="en-US" w:eastAsia="zh-CN"/>
        </w:rPr>
        <w:t>Introduction</w:t>
      </w:r>
    </w:p>
    <w:p w:rsidR="00E41DB4" w:rsidRDefault="00E41DB4" w:rsidP="00844D93">
      <w:pPr>
        <w:jc w:val="both"/>
      </w:pPr>
      <w:r>
        <w:t>The RAN1 WG started work on the new Rel-16 NR V2X SI with the goal to introduce support of V2X communication technology for NR. RAN1 is discussing the basic physical layer design assumptions and send LS to RAN4 to clarify the RF/RRM design assumptions that could be ap</w:t>
      </w:r>
      <w:r w:rsidR="00E7251D">
        <w:t>plied to the NR V2X studies [1]. In RAN4 #89, RAN4 replied to RAN1 as follow</w:t>
      </w:r>
      <w:r w:rsidR="007B64F4">
        <w:t xml:space="preserve"> [5]</w:t>
      </w:r>
      <w:r w:rsidR="00E7251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1DB4" w:rsidRPr="00B41F00" w:rsidTr="00D6028B">
        <w:tc>
          <w:tcPr>
            <w:tcW w:w="9855" w:type="dxa"/>
            <w:tcBorders>
              <w:top w:val="single" w:sz="4" w:space="0" w:color="auto"/>
              <w:left w:val="single" w:sz="4" w:space="0" w:color="auto"/>
              <w:bottom w:val="single" w:sz="4" w:space="0" w:color="auto"/>
              <w:right w:val="single" w:sz="4" w:space="0" w:color="auto"/>
            </w:tcBorders>
            <w:shd w:val="clear" w:color="auto" w:fill="auto"/>
          </w:tcPr>
          <w:p w:rsidR="007B64F4" w:rsidRDefault="007B64F4" w:rsidP="007B64F4">
            <w:pPr>
              <w:rPr>
                <w:rFonts w:ascii="Arial" w:hAnsi="Arial" w:cs="Arial"/>
                <w:b/>
              </w:rPr>
            </w:pPr>
            <w:r>
              <w:rPr>
                <w:rFonts w:ascii="Arial" w:hAnsi="Arial" w:cs="Arial"/>
                <w:b/>
              </w:rPr>
              <w:t>1. Overall Description:</w:t>
            </w:r>
          </w:p>
          <w:p w:rsidR="007B64F4" w:rsidRPr="007B64F4" w:rsidRDefault="007B64F4" w:rsidP="007B64F4">
            <w:pPr>
              <w:pStyle w:val="Header"/>
              <w:tabs>
                <w:tab w:val="left" w:pos="720"/>
              </w:tabs>
              <w:spacing w:after="120"/>
              <w:rPr>
                <w:rFonts w:cs="Arial"/>
                <w:b w:val="0"/>
                <w:bCs/>
                <w:lang w:eastAsia="ko-KR"/>
              </w:rPr>
            </w:pPr>
            <w:r w:rsidRPr="007B64F4">
              <w:rPr>
                <w:rFonts w:cs="Arial"/>
                <w:b w:val="0"/>
                <w:bCs/>
              </w:rPr>
              <w:t xml:space="preserve">RAN WG4 discussed </w:t>
            </w:r>
            <w:r w:rsidRPr="007B64F4">
              <w:rPr>
                <w:rFonts w:cs="Arial"/>
                <w:b w:val="0"/>
                <w:bCs/>
                <w:lang w:eastAsia="ko-KR"/>
              </w:rPr>
              <w:t>the NR V2X RF parameters for NR V2X physical layer design aspect. According to the RAN4 discussion, RAN4 provide following answer for the next questions from RAN1.</w:t>
            </w:r>
          </w:p>
          <w:p w:rsidR="007B64F4" w:rsidRPr="007B64F4" w:rsidRDefault="007B64F4" w:rsidP="007B64F4">
            <w:pPr>
              <w:pStyle w:val="Header"/>
              <w:spacing w:after="120"/>
              <w:rPr>
                <w:rFonts w:cs="Arial"/>
                <w:b w:val="0"/>
                <w:bCs/>
              </w:rPr>
            </w:pPr>
            <w:r w:rsidRPr="007B64F4">
              <w:rPr>
                <w:rFonts w:cs="Arial"/>
                <w:b w:val="0"/>
                <w:bCs/>
                <w:lang w:eastAsia="ko-KR"/>
              </w:rPr>
              <w:t xml:space="preserve">The current RAN4 reply only for RAN1 physical design evaluation. </w:t>
            </w:r>
            <w:r w:rsidRPr="007B64F4">
              <w:rPr>
                <w:rFonts w:cs="Arial"/>
                <w:b w:val="0"/>
                <w:bCs/>
              </w:rPr>
              <w:t>This initial RAN4 consensus is not for RAN4 requirements which will be decided in NR V2X WI stage.</w:t>
            </w:r>
          </w:p>
          <w:p w:rsidR="007B64F4" w:rsidRDefault="007B64F4" w:rsidP="007B64F4">
            <w:pPr>
              <w:pStyle w:val="ListParagraph"/>
              <w:numPr>
                <w:ilvl w:val="0"/>
                <w:numId w:val="23"/>
              </w:numPr>
              <w:spacing w:before="240"/>
              <w:rPr>
                <w:rFonts w:ascii="Arial" w:hAnsi="Arial" w:cs="Arial"/>
                <w:b/>
                <w:color w:val="000000"/>
                <w:sz w:val="20"/>
                <w:szCs w:val="20"/>
                <w:lang w:val="en-GB" w:eastAsia="zh-CN"/>
              </w:rPr>
            </w:pPr>
            <w:r>
              <w:rPr>
                <w:rFonts w:ascii="Arial" w:hAnsi="Arial" w:cs="Arial"/>
                <w:b/>
                <w:color w:val="000000"/>
                <w:sz w:val="20"/>
                <w:szCs w:val="20"/>
                <w:lang w:val="en-GB" w:eastAsia="zh-CN"/>
              </w:rPr>
              <w:t xml:space="preserve">Question 1: </w:t>
            </w:r>
            <w:r>
              <w:rPr>
                <w:rFonts w:ascii="Arial" w:hAnsi="Arial" w:cs="Arial"/>
                <w:color w:val="000000"/>
                <w:sz w:val="20"/>
                <w:szCs w:val="20"/>
                <w:lang w:val="en-GB" w:eastAsia="zh-CN"/>
              </w:rPr>
              <w:t>RAN1 would like to ask RAN4 to confirm the validity of the evaluation assumptions or provide guidance on appropriate values for:</w:t>
            </w:r>
          </w:p>
          <w:p w:rsidR="007B64F4" w:rsidRDefault="007B64F4" w:rsidP="007B64F4">
            <w:pPr>
              <w:pStyle w:val="ListParagraph"/>
              <w:numPr>
                <w:ilvl w:val="0"/>
                <w:numId w:val="24"/>
              </w:numPr>
              <w:spacing w:before="0"/>
              <w:ind w:left="720"/>
              <w:jc w:val="both"/>
              <w:rPr>
                <w:rFonts w:ascii="Arial" w:hAnsi="Arial" w:cs="Arial"/>
                <w:color w:val="000000"/>
                <w:sz w:val="20"/>
                <w:szCs w:val="20"/>
                <w:lang w:val="en-GB" w:eastAsia="zh-CN"/>
              </w:rPr>
            </w:pPr>
            <w:r>
              <w:rPr>
                <w:rFonts w:ascii="Arial" w:hAnsi="Arial" w:cs="Arial"/>
                <w:color w:val="000000"/>
                <w:sz w:val="20"/>
                <w:szCs w:val="20"/>
                <w:lang w:val="en-GB" w:eastAsia="zh-CN"/>
              </w:rPr>
              <w:t>AGC settling time.</w:t>
            </w:r>
          </w:p>
          <w:p w:rsidR="007B64F4" w:rsidRDefault="007B64F4" w:rsidP="007B64F4">
            <w:pPr>
              <w:pStyle w:val="ListParagraph"/>
              <w:numPr>
                <w:ilvl w:val="0"/>
                <w:numId w:val="24"/>
              </w:numPr>
              <w:spacing w:before="0"/>
              <w:ind w:left="720"/>
              <w:jc w:val="both"/>
              <w:rPr>
                <w:rFonts w:ascii="Arial" w:hAnsi="Arial" w:cs="Arial"/>
                <w:color w:val="000000"/>
                <w:sz w:val="20"/>
                <w:szCs w:val="20"/>
                <w:lang w:val="en-GB" w:eastAsia="zh-CN"/>
              </w:rPr>
            </w:pPr>
            <w:r>
              <w:rPr>
                <w:rFonts w:ascii="Arial" w:hAnsi="Arial" w:cs="Arial"/>
                <w:color w:val="000000"/>
                <w:sz w:val="20"/>
                <w:szCs w:val="20"/>
                <w:lang w:val="en-GB" w:eastAsia="zh-CN"/>
              </w:rPr>
              <w:t>TX/RX switching time</w:t>
            </w:r>
          </w:p>
          <w:p w:rsidR="007B64F4" w:rsidRDefault="007B64F4" w:rsidP="007B64F4">
            <w:pPr>
              <w:pStyle w:val="ListParagraph"/>
              <w:numPr>
                <w:ilvl w:val="0"/>
                <w:numId w:val="24"/>
              </w:numPr>
              <w:spacing w:before="0"/>
              <w:ind w:left="720"/>
              <w:jc w:val="both"/>
              <w:rPr>
                <w:rFonts w:ascii="Arial" w:hAnsi="Arial" w:cs="Arial"/>
                <w:color w:val="000000"/>
                <w:sz w:val="20"/>
                <w:szCs w:val="20"/>
                <w:lang w:val="en-GB" w:eastAsia="zh-CN"/>
              </w:rPr>
            </w:pPr>
            <w:r>
              <w:rPr>
                <w:rFonts w:ascii="Arial" w:hAnsi="Arial" w:cs="Arial"/>
                <w:color w:val="000000"/>
                <w:sz w:val="20"/>
                <w:szCs w:val="20"/>
                <w:lang w:val="en-GB" w:eastAsia="zh-CN"/>
              </w:rPr>
              <w:t>Timing error between a UE and its synchronization reference.</w:t>
            </w:r>
          </w:p>
          <w:p w:rsidR="007B64F4" w:rsidRDefault="007B64F4" w:rsidP="007B64F4">
            <w:pPr>
              <w:pStyle w:val="ListParagraph"/>
              <w:numPr>
                <w:ilvl w:val="0"/>
                <w:numId w:val="24"/>
              </w:numPr>
              <w:spacing w:before="0"/>
              <w:ind w:left="720"/>
              <w:jc w:val="both"/>
              <w:rPr>
                <w:rFonts w:ascii="Arial" w:hAnsi="Arial" w:cs="Arial"/>
                <w:color w:val="000000"/>
                <w:sz w:val="20"/>
                <w:szCs w:val="20"/>
                <w:lang w:val="en-GB" w:eastAsia="zh-CN"/>
              </w:rPr>
            </w:pPr>
            <w:r>
              <w:rPr>
                <w:rFonts w:ascii="Arial" w:hAnsi="Arial" w:cs="Arial"/>
                <w:color w:val="000000"/>
                <w:sz w:val="20"/>
                <w:szCs w:val="20"/>
                <w:lang w:val="en-GB" w:eastAsia="zh-CN"/>
              </w:rPr>
              <w:t>Frequency error between a UE and its synchronization reference.</w:t>
            </w:r>
          </w:p>
          <w:p w:rsidR="007B64F4" w:rsidRDefault="007B64F4" w:rsidP="007B64F4">
            <w:pPr>
              <w:pStyle w:val="Header"/>
              <w:tabs>
                <w:tab w:val="left" w:pos="720"/>
              </w:tabs>
              <w:spacing w:after="120"/>
              <w:rPr>
                <w:rFonts w:cs="Arial"/>
                <w:bCs/>
                <w:sz w:val="20"/>
                <w:lang w:val="en-GB" w:eastAsia="ko-KR"/>
              </w:rPr>
            </w:pPr>
          </w:p>
          <w:p w:rsidR="007B64F4" w:rsidRDefault="007B64F4" w:rsidP="007B64F4">
            <w:pPr>
              <w:pStyle w:val="Header"/>
              <w:tabs>
                <w:tab w:val="left" w:pos="720"/>
              </w:tabs>
              <w:spacing w:after="120"/>
              <w:ind w:left="360"/>
              <w:rPr>
                <w:rFonts w:cs="Arial"/>
                <w:bCs/>
                <w:lang w:eastAsia="ko-KR"/>
              </w:rPr>
            </w:pPr>
            <w:r>
              <w:rPr>
                <w:rFonts w:cs="Arial"/>
                <w:b w:val="0"/>
                <w:bCs/>
                <w:lang w:eastAsia="ko-KR"/>
              </w:rPr>
              <w:t xml:space="preserve">Answer 1: </w:t>
            </w:r>
            <w:r w:rsidRPr="007B64F4">
              <w:rPr>
                <w:rFonts w:cs="Arial"/>
                <w:b w:val="0"/>
                <w:bCs/>
                <w:lang w:eastAsia="ko-KR"/>
              </w:rPr>
              <w:t>The below RF/RRM parameters are recommended for NR V2X evaluation in RAN1</w:t>
            </w:r>
          </w:p>
          <w:p w:rsidR="007B64F4" w:rsidRDefault="007B64F4" w:rsidP="007B64F4">
            <w:pPr>
              <w:pStyle w:val="ListParagraph"/>
              <w:numPr>
                <w:ilvl w:val="0"/>
                <w:numId w:val="24"/>
              </w:numPr>
              <w:spacing w:before="0" w:after="120"/>
              <w:ind w:left="720" w:hanging="357"/>
              <w:jc w:val="both"/>
              <w:rPr>
                <w:rFonts w:ascii="Arial" w:hAnsi="Arial" w:cs="Arial"/>
                <w:color w:val="000000"/>
                <w:sz w:val="20"/>
                <w:szCs w:val="20"/>
                <w:lang w:val="en-GB" w:eastAsia="zh-CN"/>
              </w:rPr>
            </w:pPr>
            <w:r>
              <w:rPr>
                <w:rFonts w:ascii="Arial" w:hAnsi="Arial" w:cs="Arial"/>
                <w:color w:val="000000"/>
                <w:sz w:val="20"/>
                <w:szCs w:val="20"/>
                <w:lang w:val="en-GB" w:eastAsia="zh-CN"/>
              </w:rPr>
              <w:t>AGC settling time</w:t>
            </w:r>
          </w:p>
          <w:p w:rsidR="007B64F4" w:rsidRDefault="007B64F4" w:rsidP="007B64F4">
            <w:pPr>
              <w:pStyle w:val="ListParagraph"/>
              <w:numPr>
                <w:ilvl w:val="1"/>
                <w:numId w:val="24"/>
              </w:numPr>
              <w:spacing w:before="0" w:after="120"/>
              <w:ind w:left="1440"/>
              <w:jc w:val="both"/>
              <w:rPr>
                <w:rFonts w:ascii="Arial" w:hAnsi="Arial" w:cs="Arial"/>
                <w:color w:val="000000"/>
                <w:sz w:val="24"/>
                <w:szCs w:val="24"/>
                <w:lang w:val="en-GB" w:eastAsia="zh-CN"/>
              </w:rPr>
            </w:pPr>
            <w:r>
              <w:rPr>
                <w:rFonts w:ascii="Arial" w:hAnsi="Arial" w:cs="Arial"/>
                <w:color w:val="000000"/>
                <w:sz w:val="20"/>
                <w:szCs w:val="20"/>
                <w:lang w:val="en-GB" w:eastAsia="zh-CN"/>
              </w:rPr>
              <w:t xml:space="preserve">At least AGC settling time = 1 OFDM symbol for 15 kHz SCS is feasible. </w:t>
            </w:r>
          </w:p>
          <w:p w:rsidR="007B64F4" w:rsidRDefault="007B64F4" w:rsidP="007B64F4">
            <w:pPr>
              <w:pStyle w:val="ListParagraph"/>
              <w:numPr>
                <w:ilvl w:val="1"/>
                <w:numId w:val="24"/>
              </w:numPr>
              <w:spacing w:before="0" w:after="120"/>
              <w:ind w:left="1440"/>
              <w:jc w:val="both"/>
              <w:rPr>
                <w:rFonts w:ascii="Arial" w:hAnsi="Arial" w:cs="Arial"/>
                <w:color w:val="000000"/>
                <w:sz w:val="20"/>
                <w:szCs w:val="20"/>
                <w:lang w:val="en-GB" w:eastAsia="zh-CN"/>
              </w:rPr>
            </w:pPr>
            <w:r>
              <w:rPr>
                <w:rFonts w:ascii="Arial" w:hAnsi="Arial" w:cs="Arial"/>
                <w:color w:val="000000"/>
                <w:sz w:val="20"/>
                <w:szCs w:val="20"/>
                <w:lang w:val="en-GB" w:eastAsia="zh-CN"/>
              </w:rPr>
              <w:t>RAN4 will further study if smaller AGC time is achievable incl. 15 kHz SCS.</w:t>
            </w:r>
          </w:p>
          <w:p w:rsidR="007B64F4" w:rsidRDefault="007B64F4" w:rsidP="007B64F4">
            <w:pPr>
              <w:pStyle w:val="ListParagraph"/>
              <w:numPr>
                <w:ilvl w:val="0"/>
                <w:numId w:val="24"/>
              </w:numPr>
              <w:spacing w:before="0" w:after="120"/>
              <w:ind w:left="720"/>
              <w:jc w:val="both"/>
              <w:rPr>
                <w:rFonts w:ascii="Arial" w:hAnsi="Arial" w:cs="Arial"/>
                <w:color w:val="000000"/>
                <w:sz w:val="20"/>
                <w:szCs w:val="20"/>
                <w:lang w:val="en-GB" w:eastAsia="zh-CN"/>
              </w:rPr>
            </w:pPr>
            <w:r>
              <w:rPr>
                <w:rFonts w:ascii="Arial" w:hAnsi="Arial" w:cs="Arial"/>
                <w:color w:val="000000"/>
                <w:sz w:val="20"/>
                <w:szCs w:val="20"/>
                <w:lang w:val="en-GB" w:eastAsia="zh-CN"/>
              </w:rPr>
              <w:t>TX/RX switching time</w:t>
            </w:r>
          </w:p>
          <w:p w:rsidR="007B64F4" w:rsidRDefault="007B64F4" w:rsidP="007B64F4">
            <w:pPr>
              <w:pStyle w:val="ListParagraph"/>
              <w:numPr>
                <w:ilvl w:val="1"/>
                <w:numId w:val="24"/>
              </w:numPr>
              <w:spacing w:before="0" w:after="120"/>
              <w:ind w:left="1440"/>
              <w:jc w:val="both"/>
              <w:rPr>
                <w:rFonts w:ascii="Arial" w:hAnsi="Arial" w:cs="Arial"/>
                <w:color w:val="000000"/>
                <w:sz w:val="24"/>
                <w:szCs w:val="24"/>
                <w:lang w:val="en-GB" w:eastAsia="zh-CN"/>
              </w:rPr>
            </w:pPr>
            <w:r>
              <w:rPr>
                <w:rFonts w:ascii="Arial" w:hAnsi="Arial" w:cs="Arial"/>
                <w:color w:val="000000"/>
                <w:sz w:val="20"/>
                <w:szCs w:val="20"/>
                <w:lang w:val="en-GB" w:eastAsia="zh-CN"/>
              </w:rPr>
              <w:t>FR1: 13 us</w:t>
            </w:r>
          </w:p>
          <w:p w:rsidR="007B64F4" w:rsidRDefault="007B64F4" w:rsidP="007B64F4">
            <w:pPr>
              <w:pStyle w:val="ListParagraph"/>
              <w:numPr>
                <w:ilvl w:val="1"/>
                <w:numId w:val="24"/>
              </w:numPr>
              <w:spacing w:before="0" w:after="120"/>
              <w:ind w:left="1440"/>
              <w:jc w:val="both"/>
              <w:rPr>
                <w:rFonts w:ascii="Arial" w:hAnsi="Arial" w:cs="Arial"/>
                <w:color w:val="000000"/>
                <w:sz w:val="20"/>
                <w:szCs w:val="20"/>
                <w:lang w:val="en-GB" w:eastAsia="zh-CN"/>
              </w:rPr>
            </w:pPr>
            <w:r>
              <w:rPr>
                <w:rFonts w:ascii="Arial" w:hAnsi="Arial" w:cs="Arial"/>
                <w:color w:val="000000"/>
                <w:sz w:val="20"/>
                <w:szCs w:val="20"/>
                <w:lang w:val="en-GB" w:eastAsia="zh-CN"/>
              </w:rPr>
              <w:t xml:space="preserve">FR2: 7us </w:t>
            </w:r>
          </w:p>
          <w:p w:rsidR="007B64F4" w:rsidRDefault="007B64F4" w:rsidP="007B64F4">
            <w:pPr>
              <w:pStyle w:val="ListParagraph"/>
              <w:numPr>
                <w:ilvl w:val="0"/>
                <w:numId w:val="24"/>
              </w:numPr>
              <w:spacing w:before="0" w:after="120"/>
              <w:ind w:left="720"/>
              <w:jc w:val="both"/>
              <w:rPr>
                <w:rFonts w:ascii="Arial" w:hAnsi="Arial" w:cs="Arial"/>
                <w:color w:val="000000"/>
                <w:sz w:val="20"/>
                <w:szCs w:val="20"/>
                <w:lang w:val="en-GB" w:eastAsia="zh-CN"/>
              </w:rPr>
            </w:pPr>
            <w:r>
              <w:rPr>
                <w:rFonts w:ascii="Arial" w:hAnsi="Arial" w:cs="Arial"/>
                <w:color w:val="000000"/>
                <w:sz w:val="20"/>
                <w:szCs w:val="20"/>
                <w:lang w:val="en-GB" w:eastAsia="zh-CN"/>
              </w:rPr>
              <w:t>Timing error between a UE and its synchronization reference.</w:t>
            </w:r>
          </w:p>
          <w:p w:rsidR="007B64F4" w:rsidRDefault="007B64F4" w:rsidP="007B64F4">
            <w:pPr>
              <w:pStyle w:val="ListParagraph"/>
              <w:numPr>
                <w:ilvl w:val="1"/>
                <w:numId w:val="24"/>
              </w:numPr>
              <w:spacing w:before="0" w:after="120"/>
              <w:ind w:left="1440"/>
              <w:jc w:val="both"/>
              <w:rPr>
                <w:rFonts w:ascii="Arial" w:hAnsi="Arial" w:cs="Arial"/>
                <w:color w:val="000000"/>
                <w:sz w:val="24"/>
                <w:szCs w:val="24"/>
                <w:lang w:val="en-GB" w:eastAsia="zh-CN"/>
              </w:rPr>
            </w:pPr>
            <w:r>
              <w:rPr>
                <w:rFonts w:ascii="Arial" w:hAnsi="Arial" w:cs="Arial"/>
                <w:color w:val="000000"/>
                <w:sz w:val="20"/>
                <w:szCs w:val="20"/>
                <w:lang w:val="en-GB" w:eastAsia="zh-CN"/>
              </w:rPr>
              <w:t xml:space="preserve">FR1: </w:t>
            </w:r>
          </w:p>
          <w:p w:rsidR="007B64F4" w:rsidRDefault="007B64F4" w:rsidP="007B64F4">
            <w:pPr>
              <w:pStyle w:val="ListParagraph"/>
              <w:numPr>
                <w:ilvl w:val="2"/>
                <w:numId w:val="24"/>
              </w:numPr>
              <w:spacing w:before="0" w:after="120"/>
              <w:ind w:left="2160"/>
              <w:jc w:val="both"/>
              <w:rPr>
                <w:rFonts w:ascii="Arial" w:hAnsi="Arial" w:cs="Arial"/>
                <w:color w:val="000000"/>
                <w:lang w:val="en-GB" w:eastAsia="zh-CN"/>
              </w:rPr>
            </w:pPr>
            <w:r>
              <w:rPr>
                <w:rFonts w:ascii="Arial" w:hAnsi="Arial" w:cs="Arial"/>
                <w:color w:val="000000"/>
                <w:sz w:val="20"/>
                <w:szCs w:val="20"/>
                <w:lang w:val="en-GB" w:eastAsia="zh-CN"/>
              </w:rPr>
              <w:t>gNB synchronization reference source: reuse NR UE UL transmission timing error defined in Table 7.1.2-1 in TS38.133</w:t>
            </w:r>
          </w:p>
          <w:p w:rsidR="007B64F4" w:rsidRDefault="007B64F4" w:rsidP="007B64F4">
            <w:pPr>
              <w:pStyle w:val="ListParagraph"/>
              <w:numPr>
                <w:ilvl w:val="2"/>
                <w:numId w:val="24"/>
              </w:numPr>
              <w:spacing w:before="0" w:after="120"/>
              <w:ind w:left="2160"/>
              <w:jc w:val="both"/>
              <w:rPr>
                <w:rFonts w:ascii="Arial" w:hAnsi="Arial" w:cs="Arial"/>
                <w:color w:val="000000"/>
                <w:lang w:val="en-GB" w:eastAsia="zh-CN"/>
              </w:rPr>
            </w:pPr>
            <w:r>
              <w:rPr>
                <w:rFonts w:ascii="Arial" w:hAnsi="Arial" w:cs="Arial"/>
                <w:color w:val="000000"/>
                <w:sz w:val="20"/>
                <w:szCs w:val="20"/>
                <w:lang w:val="en-GB" w:eastAsia="zh-CN"/>
              </w:rPr>
              <w:t>GNSS synchronization reference source: FFS</w:t>
            </w:r>
          </w:p>
          <w:p w:rsidR="007B64F4" w:rsidRDefault="007B64F4" w:rsidP="007B64F4">
            <w:pPr>
              <w:pStyle w:val="ListParagraph"/>
              <w:numPr>
                <w:ilvl w:val="2"/>
                <w:numId w:val="24"/>
              </w:numPr>
              <w:spacing w:before="0" w:after="120"/>
              <w:ind w:left="2160"/>
              <w:jc w:val="both"/>
              <w:rPr>
                <w:rFonts w:ascii="Arial" w:hAnsi="Arial" w:cs="Arial"/>
                <w:color w:val="000000"/>
                <w:sz w:val="20"/>
                <w:szCs w:val="20"/>
                <w:lang w:val="en-GB" w:eastAsia="zh-CN"/>
              </w:rPr>
            </w:pPr>
            <w:r>
              <w:rPr>
                <w:rFonts w:ascii="Arial" w:hAnsi="Arial" w:cs="Arial"/>
                <w:color w:val="000000"/>
                <w:sz w:val="20"/>
                <w:szCs w:val="20"/>
                <w:lang w:val="en-GB" w:eastAsia="zh-CN"/>
              </w:rPr>
              <w:t>NR UE synchronization reference source: FFS</w:t>
            </w:r>
          </w:p>
          <w:p w:rsidR="007B64F4" w:rsidRDefault="007B64F4" w:rsidP="007B64F4">
            <w:pPr>
              <w:pStyle w:val="ListParagraph"/>
              <w:numPr>
                <w:ilvl w:val="1"/>
                <w:numId w:val="24"/>
              </w:numPr>
              <w:spacing w:before="0" w:after="120"/>
              <w:ind w:left="1440"/>
              <w:jc w:val="both"/>
              <w:rPr>
                <w:rFonts w:ascii="Arial" w:hAnsi="Arial" w:cs="Arial"/>
                <w:color w:val="000000"/>
                <w:sz w:val="24"/>
                <w:szCs w:val="24"/>
                <w:lang w:eastAsia="zh-CN"/>
              </w:rPr>
            </w:pPr>
            <w:r>
              <w:rPr>
                <w:rFonts w:ascii="Arial" w:hAnsi="Arial" w:cs="Arial"/>
                <w:color w:val="000000"/>
                <w:sz w:val="20"/>
                <w:szCs w:val="20"/>
                <w:lang w:val="en-GB" w:eastAsia="zh-CN"/>
              </w:rPr>
              <w:t xml:space="preserve">FR2: FFS </w:t>
            </w:r>
          </w:p>
          <w:p w:rsidR="007B64F4" w:rsidRDefault="007B64F4" w:rsidP="007B64F4">
            <w:pPr>
              <w:pStyle w:val="ListParagraph"/>
              <w:numPr>
                <w:ilvl w:val="0"/>
                <w:numId w:val="24"/>
              </w:numPr>
              <w:spacing w:before="0" w:after="120"/>
              <w:ind w:left="720"/>
              <w:jc w:val="both"/>
              <w:rPr>
                <w:rFonts w:ascii="Arial" w:hAnsi="Arial" w:cs="Arial"/>
                <w:color w:val="000000"/>
                <w:lang w:eastAsia="zh-CN"/>
              </w:rPr>
            </w:pPr>
            <w:r>
              <w:rPr>
                <w:rFonts w:ascii="Arial" w:hAnsi="Arial" w:cs="Arial"/>
                <w:color w:val="000000"/>
                <w:sz w:val="20"/>
                <w:szCs w:val="20"/>
                <w:lang w:val="en-GB" w:eastAsia="zh-CN"/>
              </w:rPr>
              <w:t>Frequency error between a UE and its synchronization reference</w:t>
            </w:r>
          </w:p>
          <w:p w:rsidR="007B64F4" w:rsidRDefault="007B64F4" w:rsidP="007B64F4">
            <w:pPr>
              <w:pStyle w:val="ListParagraph"/>
              <w:numPr>
                <w:ilvl w:val="1"/>
                <w:numId w:val="24"/>
              </w:numPr>
              <w:spacing w:before="0" w:after="120"/>
              <w:ind w:left="1440"/>
              <w:jc w:val="both"/>
              <w:rPr>
                <w:rFonts w:ascii="Arial" w:hAnsi="Arial" w:cs="Arial"/>
                <w:color w:val="000000"/>
                <w:lang w:val="en-GB" w:eastAsia="zh-CN"/>
              </w:rPr>
            </w:pPr>
            <w:r>
              <w:rPr>
                <w:rFonts w:ascii="Arial" w:hAnsi="Arial" w:cs="Arial"/>
                <w:color w:val="000000"/>
                <w:sz w:val="20"/>
                <w:szCs w:val="20"/>
                <w:lang w:val="en-GB" w:eastAsia="zh-CN"/>
              </w:rPr>
              <w:t>FR1: ±0.1 ppm for gNB synchronization reference source</w:t>
            </w:r>
          </w:p>
          <w:p w:rsidR="007B64F4" w:rsidRDefault="007B64F4" w:rsidP="007B64F4">
            <w:pPr>
              <w:pStyle w:val="ListParagraph"/>
              <w:numPr>
                <w:ilvl w:val="1"/>
                <w:numId w:val="24"/>
              </w:numPr>
              <w:spacing w:before="0" w:after="120"/>
              <w:ind w:left="1440"/>
              <w:jc w:val="both"/>
              <w:rPr>
                <w:rFonts w:ascii="Arial" w:hAnsi="Arial" w:cs="Arial"/>
                <w:color w:val="000000"/>
                <w:lang w:val="en-GB" w:eastAsia="zh-CN"/>
              </w:rPr>
            </w:pPr>
            <w:r>
              <w:rPr>
                <w:rFonts w:ascii="Arial" w:hAnsi="Arial" w:cs="Arial"/>
                <w:color w:val="000000"/>
                <w:sz w:val="20"/>
                <w:szCs w:val="20"/>
                <w:lang w:val="en-GB" w:eastAsia="zh-CN"/>
              </w:rPr>
              <w:t xml:space="preserve">FR2: ±0.1 ppm for gNB synchronization reference source. </w:t>
            </w:r>
          </w:p>
          <w:p w:rsidR="007B64F4" w:rsidRDefault="007B64F4" w:rsidP="007B64F4">
            <w:pPr>
              <w:pStyle w:val="ListParagraph"/>
              <w:numPr>
                <w:ilvl w:val="1"/>
                <w:numId w:val="24"/>
              </w:numPr>
              <w:spacing w:before="0" w:after="120"/>
              <w:ind w:left="1440"/>
              <w:jc w:val="both"/>
              <w:rPr>
                <w:rFonts w:ascii="Arial" w:hAnsi="Arial" w:cs="Arial"/>
                <w:color w:val="000000"/>
                <w:lang w:eastAsia="zh-CN"/>
              </w:rPr>
            </w:pPr>
            <w:r>
              <w:rPr>
                <w:rFonts w:ascii="Arial" w:hAnsi="Arial" w:cs="Arial"/>
                <w:color w:val="000000"/>
                <w:sz w:val="20"/>
                <w:szCs w:val="20"/>
                <w:lang w:val="en-GB" w:eastAsia="zh-CN"/>
              </w:rPr>
              <w:t>FFS for other synchronization reference sources</w:t>
            </w:r>
          </w:p>
          <w:p w:rsidR="007B64F4" w:rsidRDefault="007B64F4" w:rsidP="007B64F4">
            <w:pPr>
              <w:pStyle w:val="ListParagraph"/>
              <w:spacing w:after="120"/>
              <w:jc w:val="both"/>
              <w:rPr>
                <w:rFonts w:ascii="Arial" w:hAnsi="Arial" w:cs="Arial"/>
                <w:color w:val="000000"/>
                <w:sz w:val="20"/>
                <w:szCs w:val="20"/>
                <w:lang w:val="en-GB" w:eastAsia="zh-CN"/>
              </w:rPr>
            </w:pPr>
          </w:p>
          <w:p w:rsidR="007B64F4" w:rsidRDefault="007B64F4" w:rsidP="007B64F4">
            <w:pPr>
              <w:pStyle w:val="ListParagraph"/>
              <w:spacing w:after="120"/>
              <w:jc w:val="both"/>
              <w:rPr>
                <w:rFonts w:ascii="Arial" w:hAnsi="Arial" w:cs="Arial"/>
                <w:color w:val="000000"/>
                <w:sz w:val="24"/>
                <w:szCs w:val="24"/>
                <w:lang w:eastAsia="zh-CN"/>
              </w:rPr>
            </w:pPr>
            <w:r>
              <w:rPr>
                <w:rFonts w:ascii="Arial" w:hAnsi="Arial" w:cs="Arial"/>
                <w:color w:val="000000"/>
                <w:sz w:val="20"/>
                <w:szCs w:val="20"/>
                <w:lang w:val="en-GB" w:eastAsia="zh-CN"/>
              </w:rPr>
              <w:t>For the case of NR V2X UE synchronization reference source, RAN4 needs inputs on the RAN1 physical layer design before the Timing and Frequency errors can be estimated.</w:t>
            </w:r>
          </w:p>
          <w:p w:rsidR="007B64F4" w:rsidRDefault="007B64F4" w:rsidP="007B64F4">
            <w:pPr>
              <w:pStyle w:val="ListParagraph"/>
              <w:numPr>
                <w:ilvl w:val="0"/>
                <w:numId w:val="23"/>
              </w:numPr>
              <w:spacing w:before="240" w:after="120"/>
              <w:rPr>
                <w:rFonts w:ascii="Arial" w:hAnsi="Arial" w:cs="Arial"/>
                <w:bCs/>
                <w:lang w:eastAsia="ko-KR"/>
              </w:rPr>
            </w:pPr>
            <w:r>
              <w:rPr>
                <w:rFonts w:ascii="Arial" w:hAnsi="Arial" w:cs="Arial"/>
                <w:b/>
                <w:color w:val="000000"/>
                <w:sz w:val="20"/>
                <w:szCs w:val="20"/>
                <w:lang w:val="en-GB" w:eastAsia="zh-CN"/>
              </w:rPr>
              <w:t xml:space="preserve">Question 2: </w:t>
            </w:r>
            <w:r>
              <w:rPr>
                <w:rFonts w:ascii="Arial" w:hAnsi="Arial" w:cs="Arial"/>
                <w:color w:val="000000"/>
                <w:sz w:val="20"/>
                <w:szCs w:val="20"/>
                <w:lang w:val="en-GB" w:eastAsia="zh-CN"/>
              </w:rPr>
              <w:t>RAN1 would like to know whether IBE model defined in Section A.2.1.5 in TR 36.843 is still applicable to NR sidelink transmission in FR1, including OFDMA and SC-OFDMA. If the model is not applicable, RAN1 would like to request guidance from RAN4 on an appropriate model for system-level simulations.</w:t>
            </w:r>
          </w:p>
          <w:p w:rsidR="007B64F4" w:rsidRPr="007B64F4" w:rsidRDefault="007B64F4" w:rsidP="007B64F4">
            <w:pPr>
              <w:pStyle w:val="Header"/>
              <w:tabs>
                <w:tab w:val="left" w:pos="720"/>
              </w:tabs>
              <w:spacing w:after="120"/>
              <w:ind w:left="360"/>
              <w:rPr>
                <w:rFonts w:cs="Arial"/>
                <w:b w:val="0"/>
                <w:lang w:eastAsia="ko-KR"/>
              </w:rPr>
            </w:pPr>
            <w:r>
              <w:rPr>
                <w:rFonts w:cs="Arial"/>
                <w:b w:val="0"/>
                <w:bCs/>
                <w:lang w:eastAsia="ko-KR"/>
              </w:rPr>
              <w:t xml:space="preserve">Answer 2: </w:t>
            </w:r>
            <w:r w:rsidRPr="007B64F4">
              <w:rPr>
                <w:rFonts w:cs="Arial"/>
                <w:b w:val="0"/>
                <w:lang w:eastAsia="ko-KR"/>
              </w:rPr>
              <w:t xml:space="preserve">RAN4 has a common understanding IBE models for V2X SL can be improved comparing to the NR UL IBE model defined in TS 38.101-1 </w:t>
            </w:r>
            <w:r w:rsidRPr="007B64F4">
              <w:rPr>
                <w:rFonts w:cs="Arial"/>
                <w:b w:val="0"/>
                <w:bCs/>
                <w:lang w:eastAsia="ko-KR"/>
              </w:rPr>
              <w:t>Section 6.4.2.3</w:t>
            </w:r>
            <w:r w:rsidRPr="007B64F4">
              <w:rPr>
                <w:rFonts w:cs="Arial"/>
                <w:b w:val="0"/>
                <w:lang w:eastAsia="ko-KR"/>
              </w:rPr>
              <w:t xml:space="preserve">. RAN4 will further study NR FR1 V2X IBE model and inform RAN1 on final conclusions. (Note: </w:t>
            </w:r>
            <w:r w:rsidRPr="007B64F4">
              <w:rPr>
                <w:rFonts w:cs="Arial"/>
                <w:b w:val="0"/>
                <w:bCs/>
                <w:lang w:eastAsia="ko-KR"/>
              </w:rPr>
              <w:t>The possible IBE model improvements are currently considered only for RAN1 evaluation. The actual RAN4 IBE requirements will be decided in WI stage).</w:t>
            </w:r>
          </w:p>
          <w:p w:rsidR="007B64F4" w:rsidRPr="007B64F4" w:rsidRDefault="007B64F4" w:rsidP="007B64F4">
            <w:pPr>
              <w:pStyle w:val="Header"/>
              <w:tabs>
                <w:tab w:val="left" w:pos="720"/>
              </w:tabs>
              <w:spacing w:after="120"/>
              <w:ind w:left="360"/>
              <w:rPr>
                <w:rFonts w:cs="Arial"/>
                <w:b w:val="0"/>
                <w:lang w:eastAsia="ko-KR"/>
              </w:rPr>
            </w:pPr>
            <w:r w:rsidRPr="007B64F4">
              <w:rPr>
                <w:rFonts w:cs="Arial"/>
                <w:b w:val="0"/>
                <w:lang w:eastAsia="ko-KR"/>
              </w:rPr>
              <w:t xml:space="preserve">As an intermediate solution RAN1 can use NR FR1 UL IBE model defined in the TS 38.101-1 Section 6.4.2.3 as a baseline approach </w:t>
            </w:r>
            <w:r w:rsidRPr="007B64F4">
              <w:rPr>
                <w:rFonts w:cs="Arial"/>
                <w:b w:val="0"/>
                <w:bCs/>
                <w:lang w:eastAsia="ko-KR"/>
              </w:rPr>
              <w:t>for both waveforms. T</w:t>
            </w:r>
            <w:r w:rsidRPr="007B64F4">
              <w:rPr>
                <w:rFonts w:cs="Arial"/>
                <w:b w:val="0"/>
                <w:lang w:eastAsia="ko-KR"/>
              </w:rPr>
              <w:t>he following initial IBE models defined in the table below can be used as an approach for evaluations till further feedback from RAN4:</w:t>
            </w:r>
          </w:p>
          <w:p w:rsidR="007B64F4" w:rsidRPr="007B64F4" w:rsidRDefault="007B64F4" w:rsidP="007B64F4">
            <w:pPr>
              <w:pStyle w:val="Header"/>
              <w:widowControl/>
              <w:numPr>
                <w:ilvl w:val="0"/>
                <w:numId w:val="25"/>
              </w:numPr>
              <w:tabs>
                <w:tab w:val="left" w:pos="720"/>
                <w:tab w:val="center" w:pos="4153"/>
                <w:tab w:val="right" w:pos="8306"/>
              </w:tabs>
              <w:overflowPunct/>
              <w:autoSpaceDE/>
              <w:autoSpaceDN/>
              <w:adjustRightInd/>
              <w:spacing w:after="120"/>
              <w:textAlignment w:val="auto"/>
              <w:rPr>
                <w:rFonts w:cs="Arial"/>
                <w:b w:val="0"/>
                <w:bCs/>
                <w:lang w:eastAsia="ko-KR"/>
              </w:rPr>
            </w:pPr>
            <w:r w:rsidRPr="007B64F4">
              <w:rPr>
                <w:rFonts w:cs="Arial"/>
                <w:b w:val="0"/>
                <w:bCs/>
                <w:lang w:eastAsia="ko-KR"/>
              </w:rPr>
              <w:t>Model 1: {W, X1, X2, Y1, Y2, Z1, Z2, Z3 and Z4} = {3, 6, 3, 3, 3, 3, 3, 3, 3} (note: this model is using same approach as in TR 36.843)</w:t>
            </w:r>
          </w:p>
          <w:p w:rsidR="007B64F4" w:rsidRPr="007B64F4" w:rsidRDefault="007B64F4" w:rsidP="007B64F4">
            <w:pPr>
              <w:pStyle w:val="Header"/>
              <w:widowControl/>
              <w:numPr>
                <w:ilvl w:val="0"/>
                <w:numId w:val="25"/>
              </w:numPr>
              <w:tabs>
                <w:tab w:val="left" w:pos="720"/>
                <w:tab w:val="center" w:pos="4153"/>
                <w:tab w:val="right" w:pos="8306"/>
              </w:tabs>
              <w:overflowPunct/>
              <w:autoSpaceDE/>
              <w:autoSpaceDN/>
              <w:adjustRightInd/>
              <w:spacing w:after="120"/>
              <w:textAlignment w:val="auto"/>
              <w:rPr>
                <w:rFonts w:cs="Arial"/>
                <w:b w:val="0"/>
                <w:bCs/>
                <w:lang w:eastAsia="ko-KR"/>
              </w:rPr>
            </w:pPr>
            <w:r w:rsidRPr="007B64F4">
              <w:rPr>
                <w:rFonts w:cs="Arial"/>
                <w:b w:val="0"/>
                <w:bCs/>
                <w:lang w:eastAsia="ko-KR"/>
              </w:rPr>
              <w:t>Note that other models are under discussion in RAN4 and may be provided at a later stage.</w:t>
            </w:r>
          </w:p>
          <w:p w:rsidR="007B64F4" w:rsidRDefault="007B64F4" w:rsidP="007B64F4">
            <w:pPr>
              <w:pStyle w:val="Header"/>
              <w:tabs>
                <w:tab w:val="left" w:pos="720"/>
              </w:tabs>
              <w:spacing w:after="120"/>
              <w:ind w:left="360"/>
              <w:rPr>
                <w:rFonts w:cs="Arial"/>
                <w:bCs/>
                <w:lang w:eastAsia="ko-KR"/>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1106"/>
              <w:gridCol w:w="1219"/>
              <w:gridCol w:w="4104"/>
              <w:gridCol w:w="1628"/>
            </w:tblGrid>
            <w:tr w:rsidR="007B64F4" w:rsidTr="007B64F4">
              <w:trPr>
                <w:trHeight w:val="339"/>
                <w:jc w:val="center"/>
              </w:trPr>
              <w:tc>
                <w:tcPr>
                  <w:tcW w:w="783"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ascii="Times New Roman" w:hAnsi="Times New Roman" w:cs="Arial"/>
                      <w:b w:val="0"/>
                      <w:bCs/>
                      <w:lang w:eastAsia="ko-KR"/>
                    </w:rPr>
                  </w:pPr>
                  <w:r w:rsidRPr="007B64F4">
                    <w:rPr>
                      <w:rFonts w:cs="Arial"/>
                      <w:b w:val="0"/>
                      <w:bCs/>
                      <w:lang w:eastAsia="ko-KR"/>
                    </w:rPr>
                    <w:t>Parameter description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Unit</w:t>
                  </w:r>
                </w:p>
              </w:tc>
              <w:tc>
                <w:tcPr>
                  <w:tcW w:w="2786" w:type="pct"/>
                  <w:gridSpan w:val="2"/>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Limit (NOTE 1)</w:t>
                  </w:r>
                </w:p>
              </w:tc>
              <w:tc>
                <w:tcPr>
                  <w:tcW w:w="851"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Applicable Frequencies</w:t>
                  </w:r>
                </w:p>
              </w:tc>
            </w:tr>
            <w:tr w:rsidR="007B64F4" w:rsidTr="007B64F4">
              <w:trPr>
                <w:trHeight w:val="415"/>
                <w:jc w:val="center"/>
              </w:trPr>
              <w:tc>
                <w:tcPr>
                  <w:tcW w:w="783"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General</w:t>
                  </w:r>
                </w:p>
              </w:tc>
              <w:tc>
                <w:tcPr>
                  <w:tcW w:w="579"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dB</w:t>
                  </w:r>
                </w:p>
              </w:tc>
              <w:tc>
                <w:tcPr>
                  <w:tcW w:w="2786" w:type="pct"/>
                  <w:gridSpan w:val="2"/>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pStyle w:val="Header"/>
                    <w:tabs>
                      <w:tab w:val="left" w:pos="720"/>
                    </w:tabs>
                    <w:spacing w:after="120"/>
                    <w:ind w:left="360"/>
                    <w:rPr>
                      <w:rFonts w:cs="Arial"/>
                      <w:bCs/>
                      <w:lang w:eastAsia="ko-KR"/>
                    </w:rPr>
                  </w:pPr>
                  <w:r>
                    <w:rPr>
                      <w:rFonts w:eastAsiaTheme="minorEastAsia" w:cs="Arial"/>
                      <w:bCs/>
                      <w:sz w:val="20"/>
                      <w:lang w:val="en-GB" w:eastAsia="ko-KR"/>
                    </w:rPr>
                    <w:object w:dxaOrig="3972" w:dyaOrig="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8pt;height:49.2pt" o:ole="">
                        <v:imagedata r:id="rId12" o:title=""/>
                      </v:shape>
                      <o:OLEObject Type="Embed" ProgID="Equation.DSMT4" ShapeID="_x0000_i1025" DrawAspect="Content" ObjectID="_1615580013" r:id="rId13"/>
                    </w:object>
                  </w:r>
                </w:p>
              </w:tc>
              <w:tc>
                <w:tcPr>
                  <w:tcW w:w="851"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Any non-allocated (NOTE 2)</w:t>
                  </w:r>
                </w:p>
              </w:tc>
            </w:tr>
            <w:tr w:rsidR="007B64F4" w:rsidTr="007B64F4">
              <w:trPr>
                <w:trHeight w:val="11"/>
                <w:jc w:val="center"/>
              </w:trPr>
              <w:tc>
                <w:tcPr>
                  <w:tcW w:w="783" w:type="pct"/>
                  <w:vMerge w:val="restar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IQ Image</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dB</w:t>
                  </w:r>
                </w:p>
              </w:tc>
              <w:tc>
                <w:tcPr>
                  <w:tcW w:w="63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-28 - </w:t>
                  </w:r>
                  <w:r w:rsidRPr="007B64F4">
                    <w:rPr>
                      <w:rFonts w:cs="Arial"/>
                      <w:b w:val="0"/>
                      <w:bCs/>
                      <w:i/>
                      <w:lang w:eastAsia="ko-KR"/>
                    </w:rPr>
                    <w:t>Y1</w:t>
                  </w:r>
                </w:p>
              </w:tc>
              <w:tc>
                <w:tcPr>
                  <w:tcW w:w="214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Image frequencies when output power &gt; 10 dBm</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Image frequencies (NOTES 2, 3)</w:t>
                  </w:r>
                </w:p>
              </w:tc>
            </w:tr>
            <w:tr w:rsidR="007B64F4" w:rsidTr="007B64F4">
              <w:trPr>
                <w:trHeight w:val="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-25 - </w:t>
                  </w:r>
                  <w:r w:rsidRPr="007B64F4">
                    <w:rPr>
                      <w:rFonts w:cs="Arial"/>
                      <w:b w:val="0"/>
                      <w:bCs/>
                      <w:i/>
                      <w:lang w:eastAsia="ko-KR"/>
                    </w:rPr>
                    <w:t>Y2</w:t>
                  </w:r>
                </w:p>
              </w:tc>
              <w:tc>
                <w:tcPr>
                  <w:tcW w:w="214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Image frequencies when output power </w:t>
                  </w:r>
                  <w:r w:rsidRPr="007B64F4">
                    <w:rPr>
                      <w:rFonts w:cs="Arial" w:hint="eastAsia"/>
                      <w:b w:val="0"/>
                      <w:bCs/>
                      <w:lang w:eastAsia="ko-KR"/>
                    </w:rPr>
                    <w:t>≤</w:t>
                  </w:r>
                  <w:r w:rsidRPr="007B64F4">
                    <w:rPr>
                      <w:rFonts w:cs="Arial"/>
                      <w:b w:val="0"/>
                      <w:bCs/>
                      <w:lang w:eastAsia="ko-KR"/>
                    </w:rPr>
                    <w:t xml:space="preserve">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rPr>
                      <w:rFonts w:cs="Arial"/>
                      <w:bCs/>
                      <w:lang w:eastAsia="ko-KR"/>
                    </w:rPr>
                  </w:pPr>
                </w:p>
              </w:tc>
            </w:tr>
            <w:tr w:rsidR="007B64F4" w:rsidTr="007B64F4">
              <w:trPr>
                <w:trHeight w:val="121"/>
                <w:jc w:val="center"/>
              </w:trPr>
              <w:tc>
                <w:tcPr>
                  <w:tcW w:w="783" w:type="pct"/>
                  <w:vMerge w:val="restar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Carrier leakage</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dBc</w:t>
                  </w:r>
                </w:p>
              </w:tc>
              <w:tc>
                <w:tcPr>
                  <w:tcW w:w="63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-28 - </w:t>
                  </w:r>
                  <w:r w:rsidRPr="007B64F4">
                    <w:rPr>
                      <w:rFonts w:cs="Arial"/>
                      <w:b w:val="0"/>
                      <w:bCs/>
                      <w:i/>
                      <w:lang w:eastAsia="ko-KR"/>
                    </w:rPr>
                    <w:t>Z1</w:t>
                  </w:r>
                </w:p>
              </w:tc>
              <w:tc>
                <w:tcPr>
                  <w:tcW w:w="214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Output power &gt; 10 dBm </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Carrier leakage frequency (NOTES 4, 5)</w:t>
                  </w:r>
                </w:p>
              </w:tc>
            </w:tr>
            <w:tr w:rsidR="007B64F4" w:rsidTr="007B64F4">
              <w:trPr>
                <w:trHeight w:val="1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-25 - </w:t>
                  </w:r>
                  <w:r w:rsidRPr="007B64F4">
                    <w:rPr>
                      <w:rFonts w:cs="Arial"/>
                      <w:b w:val="0"/>
                      <w:bCs/>
                      <w:i/>
                      <w:lang w:eastAsia="ko-KR"/>
                    </w:rPr>
                    <w:t>Z2</w:t>
                  </w:r>
                </w:p>
              </w:tc>
              <w:tc>
                <w:tcPr>
                  <w:tcW w:w="214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0 dBm </w:t>
                  </w:r>
                  <w:r w:rsidRPr="007B64F4">
                    <w:rPr>
                      <w:rFonts w:cs="Arial" w:hint="eastAsia"/>
                      <w:b w:val="0"/>
                      <w:bCs/>
                      <w:lang w:eastAsia="ko-KR"/>
                    </w:rPr>
                    <w:t>≤</w:t>
                  </w:r>
                  <w:r w:rsidRPr="007B64F4">
                    <w:rPr>
                      <w:rFonts w:cs="Arial"/>
                      <w:b w:val="0"/>
                      <w:bCs/>
                      <w:lang w:eastAsia="ko-KR"/>
                    </w:rPr>
                    <w:t xml:space="preserve"> Output power </w:t>
                  </w:r>
                  <w:r w:rsidRPr="007B64F4">
                    <w:rPr>
                      <w:rFonts w:cs="Arial" w:hint="eastAsia"/>
                      <w:b w:val="0"/>
                      <w:bCs/>
                      <w:lang w:eastAsia="ko-KR"/>
                    </w:rPr>
                    <w:t>≤</w:t>
                  </w:r>
                  <w:r w:rsidRPr="007B64F4">
                    <w:rPr>
                      <w:rFonts w:cs="Arial"/>
                      <w:b w:val="0"/>
                      <w:bCs/>
                      <w:lang w:eastAsia="ko-KR"/>
                    </w:rPr>
                    <w:t>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r>
            <w:tr w:rsidR="007B64F4" w:rsidTr="007B64F4">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-20 - </w:t>
                  </w:r>
                  <w:r w:rsidRPr="007B64F4">
                    <w:rPr>
                      <w:rFonts w:cs="Arial"/>
                      <w:b w:val="0"/>
                      <w:bCs/>
                      <w:i/>
                      <w:lang w:eastAsia="ko-KR"/>
                    </w:rPr>
                    <w:t>Z3</w:t>
                  </w:r>
                </w:p>
              </w:tc>
              <w:tc>
                <w:tcPr>
                  <w:tcW w:w="214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-30 dBm </w:t>
                  </w:r>
                  <w:r w:rsidRPr="007B64F4">
                    <w:rPr>
                      <w:rFonts w:cs="Arial" w:hint="eastAsia"/>
                      <w:b w:val="0"/>
                      <w:bCs/>
                      <w:lang w:eastAsia="ko-KR"/>
                    </w:rPr>
                    <w:t>≤</w:t>
                  </w:r>
                  <w:r w:rsidRPr="007B64F4">
                    <w:rPr>
                      <w:rFonts w:cs="Arial"/>
                      <w:b w:val="0"/>
                      <w:bCs/>
                      <w:lang w:eastAsia="ko-KR"/>
                    </w:rPr>
                    <w:t xml:space="preserve"> Output power </w:t>
                  </w:r>
                  <w:r w:rsidRPr="007B64F4">
                    <w:rPr>
                      <w:rFonts w:cs="Arial" w:hint="eastAsia"/>
                      <w:b w:val="0"/>
                      <w:bCs/>
                      <w:lang w:eastAsia="ko-KR"/>
                    </w:rPr>
                    <w:t>≤</w:t>
                  </w:r>
                  <w:r w:rsidRPr="007B64F4">
                    <w:rPr>
                      <w:rFonts w:cs="Arial"/>
                      <w:b w:val="0"/>
                      <w:bCs/>
                      <w:lang w:eastAsia="ko-KR"/>
                    </w:rPr>
                    <w:t xml:space="preserve">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r>
            <w:tr w:rsidR="007B64F4" w:rsidTr="007B64F4">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-10 - </w:t>
                  </w:r>
                  <w:r w:rsidRPr="007B64F4">
                    <w:rPr>
                      <w:rFonts w:cs="Arial"/>
                      <w:b w:val="0"/>
                      <w:bCs/>
                      <w:i/>
                      <w:lang w:eastAsia="ko-KR"/>
                    </w:rPr>
                    <w:t>Z4</w:t>
                  </w:r>
                </w:p>
              </w:tc>
              <w:tc>
                <w:tcPr>
                  <w:tcW w:w="2148" w:type="pct"/>
                  <w:tcBorders>
                    <w:top w:val="single" w:sz="4" w:space="0" w:color="auto"/>
                    <w:left w:val="single" w:sz="4" w:space="0" w:color="auto"/>
                    <w:bottom w:val="single" w:sz="4" w:space="0" w:color="auto"/>
                    <w:right w:val="single" w:sz="4" w:space="0" w:color="auto"/>
                  </w:tcBorders>
                  <w:vAlign w:val="center"/>
                  <w:hideMark/>
                </w:tcPr>
                <w:p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-40 dBm </w:t>
                  </w:r>
                  <w:r w:rsidRPr="007B64F4">
                    <w:rPr>
                      <w:rFonts w:cs="Arial"/>
                      <w:b w:val="0"/>
                      <w:bCs/>
                      <w:lang w:eastAsia="ko-KR"/>
                    </w:rPr>
                    <w:sym w:font="Symbol" w:char="F0A3"/>
                  </w:r>
                  <w:r w:rsidRPr="007B64F4">
                    <w:rPr>
                      <w:rFonts w:cs="Arial"/>
                      <w:b w:val="0"/>
                      <w:bCs/>
                      <w:lang w:eastAsia="ko-KR"/>
                    </w:rPr>
                    <w:t xml:space="preserve">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rPr>
                      <w:rFonts w:cs="Arial"/>
                      <w:bCs/>
                      <w:lang w:eastAsia="ko-KR"/>
                    </w:rPr>
                  </w:pPr>
                </w:p>
              </w:tc>
            </w:tr>
            <w:tr w:rsidR="007B64F4" w:rsidTr="007B64F4">
              <w:trPr>
                <w:trHeight w:val="3398"/>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7B64F4" w:rsidRDefault="007B64F4" w:rsidP="007B64F4">
                  <w:pPr>
                    <w:pStyle w:val="TAN"/>
                    <w:rPr>
                      <w:szCs w:val="18"/>
                    </w:rPr>
                  </w:pPr>
                  <w:r>
                    <w:rPr>
                      <w:szCs w:val="18"/>
                    </w:rPr>
                    <w:lastRenderedPageBreak/>
                    <w:t>NOTE 1:</w:t>
                  </w:r>
                  <w:r>
                    <w:rPr>
                      <w:szCs w:val="18"/>
                    </w:rPr>
                    <w:tab/>
                    <w:t xml:space="preserve">An in-band emissions combined limit is evaluated in each non-allocated RB. For each such RB, the minimum requirement is calculated as the higher of </w:t>
                  </w:r>
                  <w:r>
                    <w:rPr>
                      <w:b/>
                      <w:color w:val="000000" w:themeColor="text1"/>
                      <w:szCs w:val="18"/>
                    </w:rPr>
                    <w:t>P</w:t>
                  </w:r>
                  <w:r>
                    <w:rPr>
                      <w:b/>
                      <w:color w:val="000000" w:themeColor="text1"/>
                      <w:szCs w:val="18"/>
                      <w:vertAlign w:val="subscript"/>
                    </w:rPr>
                    <w:t>RB</w:t>
                  </w:r>
                  <w:r>
                    <w:rPr>
                      <w:b/>
                      <w:color w:val="000000" w:themeColor="text1"/>
                      <w:szCs w:val="18"/>
                    </w:rPr>
                    <w:t xml:space="preserve"> - 30 dB – </w:t>
                  </w:r>
                  <w:r>
                    <w:rPr>
                      <w:b/>
                      <w:i/>
                      <w:color w:val="000000" w:themeColor="text1"/>
                      <w:szCs w:val="18"/>
                    </w:rPr>
                    <w:t>W</w:t>
                  </w:r>
                  <w:r>
                    <w:rPr>
                      <w:szCs w:val="18"/>
                    </w:rPr>
                    <w:t xml:space="preserve"> and the power sum of all limit values (General, IQ Image or Carrier leakage) that apply. P</w:t>
                  </w:r>
                  <w:r>
                    <w:rPr>
                      <w:szCs w:val="18"/>
                      <w:vertAlign w:val="subscript"/>
                    </w:rPr>
                    <w:t>RB</w:t>
                  </w:r>
                  <w:r>
                    <w:rPr>
                      <w:szCs w:val="18"/>
                    </w:rPr>
                    <w:t xml:space="preserve"> is defined in NOTE 10.</w:t>
                  </w:r>
                </w:p>
                <w:p w:rsidR="007B64F4" w:rsidRDefault="007B64F4" w:rsidP="007B64F4">
                  <w:pPr>
                    <w:pStyle w:val="TAN"/>
                    <w:rPr>
                      <w:szCs w:val="18"/>
                      <w:lang w:val="en-US"/>
                    </w:rPr>
                  </w:pPr>
                  <w:r>
                    <w:rPr>
                      <w:szCs w:val="18"/>
                    </w:rPr>
                    <w:t>NOTE 2:</w:t>
                  </w:r>
                  <w:r>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7B64F4" w:rsidRDefault="007B64F4" w:rsidP="007B64F4">
                  <w:pPr>
                    <w:pStyle w:val="TAN"/>
                    <w:rPr>
                      <w:szCs w:val="18"/>
                      <w:lang w:val="en-US"/>
                    </w:rPr>
                  </w:pPr>
                  <w:r>
                    <w:rPr>
                      <w:szCs w:val="18"/>
                    </w:rPr>
                    <w:t>NOTE 3:</w:t>
                  </w:r>
                  <w:r>
                    <w:rPr>
                      <w:szCs w:val="18"/>
                    </w:rPr>
                    <w:tab/>
                    <w:t>The applicable frequencies for this limit are those that are enclosed in the reflection of the allocated bandwidth, based on symmetry with respect to the carrier frequency, but excluding any allocated RBs.</w:t>
                  </w:r>
                </w:p>
                <w:p w:rsidR="007B64F4" w:rsidRDefault="007B64F4" w:rsidP="007B64F4">
                  <w:pPr>
                    <w:pStyle w:val="TAN"/>
                    <w:rPr>
                      <w:szCs w:val="18"/>
                      <w:lang w:val="en-US"/>
                    </w:rPr>
                  </w:pPr>
                  <w:r>
                    <w:rPr>
                      <w:szCs w:val="18"/>
                    </w:rPr>
                    <w:t>NOTE 4:</w:t>
                  </w:r>
                  <w:r>
                    <w:rPr>
                      <w:szCs w:val="18"/>
                    </w:rPr>
                    <w:tab/>
                    <w:t>The measurement bandwidth is 1 RB and the limit is expressed as a ratio of measured power in one non-allocated RB to the measured total power in all allocated RBs.</w:t>
                  </w:r>
                </w:p>
                <w:p w:rsidR="007B64F4" w:rsidRDefault="007B64F4" w:rsidP="007B64F4">
                  <w:pPr>
                    <w:pStyle w:val="TAN"/>
                    <w:rPr>
                      <w:szCs w:val="18"/>
                      <w:lang w:val="en-US"/>
                    </w:rPr>
                  </w:pPr>
                  <w:r>
                    <w:rPr>
                      <w:szCs w:val="18"/>
                    </w:rPr>
                    <w:t>NOTE 5:</w:t>
                  </w:r>
                  <w:r>
                    <w:rPr>
                      <w:szCs w:val="18"/>
                    </w:rPr>
                    <w:tab/>
                    <w:t>The applicable frequencies for this limit are those that are enclosed in the RBs containing the DC frequency if N</w:t>
                  </w:r>
                  <w:r>
                    <w:rPr>
                      <w:position w:val="-5"/>
                      <w:szCs w:val="18"/>
                      <w:vertAlign w:val="subscript"/>
                    </w:rPr>
                    <w:t>RB</w:t>
                  </w:r>
                  <w:r>
                    <w:rPr>
                      <w:szCs w:val="18"/>
                    </w:rPr>
                    <w:t xml:space="preserve"> is odd, or in the two RBs immediately adjacent to the DC frequency if N</w:t>
                  </w:r>
                  <w:r>
                    <w:rPr>
                      <w:position w:val="-5"/>
                      <w:szCs w:val="18"/>
                      <w:vertAlign w:val="subscript"/>
                    </w:rPr>
                    <w:t>RB</w:t>
                  </w:r>
                  <w:r>
                    <w:rPr>
                      <w:szCs w:val="18"/>
                    </w:rPr>
                    <w:t xml:space="preserve"> is even but excluding any allocated RB.</w:t>
                  </w:r>
                </w:p>
                <w:p w:rsidR="007B64F4" w:rsidRDefault="007B64F4" w:rsidP="007B64F4">
                  <w:pPr>
                    <w:pStyle w:val="TAN"/>
                    <w:rPr>
                      <w:szCs w:val="18"/>
                      <w:lang w:val="en-US"/>
                    </w:rPr>
                  </w:pPr>
                  <w:r>
                    <w:rPr>
                      <w:szCs w:val="18"/>
                    </w:rPr>
                    <w:t>NOTE 6:</w:t>
                  </w:r>
                  <w:r>
                    <w:rPr>
                      <w:szCs w:val="18"/>
                    </w:rPr>
                    <w:tab/>
                    <w:t>L</w:t>
                  </w:r>
                  <w:r>
                    <w:rPr>
                      <w:position w:val="-5"/>
                      <w:szCs w:val="18"/>
                      <w:vertAlign w:val="subscript"/>
                    </w:rPr>
                    <w:t>CRB</w:t>
                  </w:r>
                  <w:r>
                    <w:rPr>
                      <w:szCs w:val="18"/>
                    </w:rPr>
                    <w:t xml:space="preserve"> is the Transmission Bandwidth (see Figure 5.3.3-1 TS 38.101-1).</w:t>
                  </w:r>
                </w:p>
                <w:p w:rsidR="007B64F4" w:rsidRDefault="007B64F4" w:rsidP="007B64F4">
                  <w:pPr>
                    <w:pStyle w:val="TAN"/>
                    <w:rPr>
                      <w:szCs w:val="18"/>
                      <w:lang w:val="en-US"/>
                    </w:rPr>
                  </w:pPr>
                  <w:r>
                    <w:rPr>
                      <w:szCs w:val="18"/>
                    </w:rPr>
                    <w:t>NOTE 7:</w:t>
                  </w:r>
                  <w:r>
                    <w:rPr>
                      <w:szCs w:val="18"/>
                    </w:rPr>
                    <w:tab/>
                    <w:t>N</w:t>
                  </w:r>
                  <w:r>
                    <w:rPr>
                      <w:position w:val="-5"/>
                      <w:szCs w:val="18"/>
                      <w:vertAlign w:val="subscript"/>
                    </w:rPr>
                    <w:t>RB</w:t>
                  </w:r>
                  <w:r>
                    <w:rPr>
                      <w:szCs w:val="18"/>
                    </w:rPr>
                    <w:t xml:space="preserve"> is the Transmission Bandwidth Configuration (see Figure 5.3.3-1 TS 38.101-1).</w:t>
                  </w:r>
                </w:p>
                <w:p w:rsidR="007B64F4" w:rsidRDefault="007B64F4" w:rsidP="007B64F4">
                  <w:pPr>
                    <w:pStyle w:val="TAN"/>
                    <w:rPr>
                      <w:szCs w:val="18"/>
                      <w:lang w:val="en-US"/>
                    </w:rPr>
                  </w:pPr>
                  <w:r>
                    <w:rPr>
                      <w:szCs w:val="18"/>
                    </w:rPr>
                    <w:t>NOTE 8:</w:t>
                  </w:r>
                  <w:r>
                    <w:rPr>
                      <w:szCs w:val="18"/>
                    </w:rPr>
                    <w:tab/>
                    <w:t>EVM s the limit for the modulation format used in the allocated RBs.</w:t>
                  </w:r>
                </w:p>
                <w:p w:rsidR="007B64F4" w:rsidRDefault="007B64F4" w:rsidP="007B64F4">
                  <w:pPr>
                    <w:pStyle w:val="TAN"/>
                    <w:rPr>
                      <w:szCs w:val="18"/>
                      <w:lang w:val="en-US"/>
                    </w:rPr>
                  </w:pPr>
                  <w:r>
                    <w:rPr>
                      <w:szCs w:val="18"/>
                    </w:rPr>
                    <w:t>NOTE 9:</w:t>
                  </w:r>
                  <w:r>
                    <w:rPr>
                      <w:szCs w:val="18"/>
                    </w:rPr>
                    <w:tab/>
                  </w:r>
                  <w:r>
                    <w:rPr>
                      <w:rFonts w:ascii="Symbol" w:hAnsi="Symbol"/>
                      <w:szCs w:val="18"/>
                    </w:rPr>
                    <w:t></w:t>
                  </w:r>
                  <w:r>
                    <w:rPr>
                      <w:position w:val="-5"/>
                      <w:szCs w:val="18"/>
                      <w:vertAlign w:val="subscript"/>
                    </w:rPr>
                    <w:t>RB</w:t>
                  </w:r>
                  <w:r>
                    <w:rPr>
                      <w:szCs w:val="18"/>
                    </w:rPr>
                    <w:t xml:space="preserve"> is the starting frequency offset between the allocated RB and the measured non-allocated RB (e.g. </w:t>
                  </w:r>
                  <w:r>
                    <w:rPr>
                      <w:rFonts w:ascii="Symbol" w:hAnsi="Symbol"/>
                      <w:szCs w:val="18"/>
                    </w:rPr>
                    <w:t></w:t>
                  </w:r>
                  <w:r>
                    <w:rPr>
                      <w:position w:val="-5"/>
                      <w:szCs w:val="18"/>
                      <w:vertAlign w:val="subscript"/>
                    </w:rPr>
                    <w:t>RB</w:t>
                  </w:r>
                  <w:r>
                    <w:rPr>
                      <w:szCs w:val="18"/>
                    </w:rPr>
                    <w:t xml:space="preserve">= 1 or </w:t>
                  </w:r>
                  <w:r>
                    <w:rPr>
                      <w:rFonts w:ascii="Symbol" w:hAnsi="Symbol"/>
                      <w:szCs w:val="18"/>
                    </w:rPr>
                    <w:t></w:t>
                  </w:r>
                  <w:r>
                    <w:rPr>
                      <w:position w:val="-5"/>
                      <w:szCs w:val="18"/>
                      <w:vertAlign w:val="subscript"/>
                    </w:rPr>
                    <w:t>RB</w:t>
                  </w:r>
                  <w:r>
                    <w:rPr>
                      <w:szCs w:val="18"/>
                    </w:rPr>
                    <w:t>= -1 for the first adjacent RB outside of the allocated bandwidth).</w:t>
                  </w:r>
                </w:p>
                <w:p w:rsidR="007B64F4" w:rsidRDefault="007B64F4" w:rsidP="007B64F4">
                  <w:pPr>
                    <w:pStyle w:val="TAN"/>
                    <w:rPr>
                      <w:rFonts w:cs="Arial"/>
                      <w:bCs/>
                      <w:lang w:eastAsia="ko-KR"/>
                    </w:rPr>
                  </w:pPr>
                  <w:r>
                    <w:rPr>
                      <w:szCs w:val="18"/>
                    </w:rPr>
                    <w:t>NOTE 10:</w:t>
                  </w:r>
                  <w:r>
                    <w:rPr>
                      <w:szCs w:val="18"/>
                    </w:rPr>
                    <w:tab/>
                    <w:t>P</w:t>
                  </w:r>
                  <w:r>
                    <w:rPr>
                      <w:position w:val="-5"/>
                      <w:szCs w:val="18"/>
                      <w:vertAlign w:val="subscript"/>
                    </w:rPr>
                    <w:t>RB</w:t>
                  </w:r>
                  <w:r>
                    <w:rPr>
                      <w:szCs w:val="18"/>
                    </w:rPr>
                    <w:t xml:space="preserve"> is the transmitted power per allocated RB, measured in dBm.</w:t>
                  </w:r>
                </w:p>
              </w:tc>
            </w:tr>
          </w:tbl>
          <w:p w:rsidR="007B64F4" w:rsidRDefault="007B64F4" w:rsidP="007B64F4">
            <w:pPr>
              <w:pStyle w:val="Header"/>
              <w:tabs>
                <w:tab w:val="left" w:pos="720"/>
              </w:tabs>
              <w:spacing w:after="120"/>
              <w:ind w:left="360"/>
              <w:rPr>
                <w:rFonts w:cs="Arial"/>
                <w:bCs/>
                <w:sz w:val="20"/>
                <w:lang w:val="en-GB"/>
              </w:rPr>
            </w:pPr>
          </w:p>
          <w:p w:rsidR="007B64F4" w:rsidRDefault="007B64F4" w:rsidP="007B64F4">
            <w:pPr>
              <w:pStyle w:val="ListParagraph"/>
              <w:numPr>
                <w:ilvl w:val="0"/>
                <w:numId w:val="23"/>
              </w:numPr>
              <w:spacing w:before="240" w:after="120"/>
              <w:rPr>
                <w:rFonts w:ascii="Arial" w:hAnsi="Arial" w:cs="Arial"/>
                <w:b/>
                <w:color w:val="000000"/>
                <w:sz w:val="20"/>
                <w:szCs w:val="20"/>
                <w:lang w:val="en-GB" w:eastAsia="zh-CN"/>
              </w:rPr>
            </w:pPr>
            <w:r>
              <w:rPr>
                <w:rFonts w:ascii="Arial" w:hAnsi="Arial" w:cs="Arial"/>
                <w:b/>
                <w:color w:val="000000"/>
                <w:sz w:val="20"/>
                <w:szCs w:val="20"/>
                <w:lang w:val="en-GB" w:eastAsia="zh-CN"/>
              </w:rPr>
              <w:t xml:space="preserve">Question 3: </w:t>
            </w:r>
            <w:r>
              <w:rPr>
                <w:rFonts w:ascii="Arial" w:hAnsi="Arial" w:cs="Arial"/>
                <w:color w:val="000000"/>
                <w:sz w:val="20"/>
                <w:szCs w:val="20"/>
                <w:lang w:val="en-GB" w:eastAsia="zh-CN"/>
              </w:rPr>
              <w:t>RAN1 would like to request guidance from RAN4 on an IBE model for sidelink communication in FR2</w:t>
            </w:r>
          </w:p>
          <w:p w:rsidR="007B64F4" w:rsidRDefault="007B64F4" w:rsidP="007B64F4">
            <w:pPr>
              <w:pStyle w:val="Header"/>
              <w:tabs>
                <w:tab w:val="left" w:pos="720"/>
              </w:tabs>
              <w:spacing w:after="120"/>
              <w:ind w:left="360"/>
              <w:rPr>
                <w:rFonts w:cs="Arial"/>
                <w:b w:val="0"/>
                <w:bCs/>
                <w:sz w:val="20"/>
                <w:lang w:val="en-GB" w:eastAsia="ko-KR"/>
              </w:rPr>
            </w:pPr>
            <w:r>
              <w:rPr>
                <w:rFonts w:cs="Arial"/>
                <w:b w:val="0"/>
                <w:bCs/>
                <w:lang w:eastAsia="ko-KR"/>
              </w:rPr>
              <w:t xml:space="preserve">Answer 3: </w:t>
            </w:r>
            <w:r w:rsidRPr="007B64F4">
              <w:rPr>
                <w:rFonts w:cs="Arial"/>
                <w:b w:val="0"/>
                <w:bCs/>
                <w:lang w:eastAsia="ko-KR"/>
              </w:rPr>
              <w:t xml:space="preserve">In the first stage to design NR V2X physical layer, RAN WG4 recommend to consider the IBE requirements in </w:t>
            </w:r>
            <w:r w:rsidRPr="007B64F4">
              <w:rPr>
                <w:rFonts w:cs="Arial"/>
                <w:b w:val="0"/>
                <w:color w:val="000000"/>
                <w:lang w:eastAsia="zh-CN"/>
              </w:rPr>
              <w:t xml:space="preserve">Section 6.4.2.3.4 for power class 3 UE </w:t>
            </w:r>
            <w:r w:rsidRPr="007B64F4">
              <w:rPr>
                <w:rFonts w:cs="Arial"/>
                <w:b w:val="0"/>
                <w:color w:val="FF0000"/>
                <w:lang w:eastAsia="zh-CN"/>
              </w:rPr>
              <w:t>(i.e. handheld UE)</w:t>
            </w:r>
            <w:r w:rsidRPr="007B64F4">
              <w:rPr>
                <w:rFonts w:cs="Arial"/>
                <w:b w:val="0"/>
                <w:lang w:eastAsia="zh-CN"/>
              </w:rPr>
              <w:t xml:space="preserve"> </w:t>
            </w:r>
            <w:r w:rsidRPr="007B64F4">
              <w:rPr>
                <w:rFonts w:cs="Arial"/>
                <w:b w:val="0"/>
                <w:color w:val="000000"/>
                <w:lang w:eastAsia="zh-CN"/>
              </w:rPr>
              <w:t xml:space="preserve">in TS 38.101-2 at FR2 for both waveforms. </w:t>
            </w:r>
            <w:r w:rsidRPr="007B64F4">
              <w:rPr>
                <w:rFonts w:cs="Arial"/>
                <w:b w:val="0"/>
                <w:color w:val="000000" w:themeColor="text1"/>
                <w:lang w:eastAsia="zh-CN"/>
              </w:rPr>
              <w:t>Note that RAN4 did not discuss the applicable FR2 UE PC for V2X communication.</w:t>
            </w:r>
          </w:p>
          <w:p w:rsidR="007B64F4" w:rsidRDefault="007B64F4" w:rsidP="007B64F4">
            <w:pPr>
              <w:rPr>
                <w:rFonts w:ascii="Arial" w:hAnsi="Arial" w:cs="Arial"/>
                <w:b/>
              </w:rPr>
            </w:pPr>
          </w:p>
          <w:p w:rsidR="007B64F4" w:rsidRDefault="007B64F4" w:rsidP="007B64F4">
            <w:pPr>
              <w:rPr>
                <w:rFonts w:ascii="Arial" w:hAnsi="Arial" w:cs="Arial"/>
                <w:b/>
              </w:rPr>
            </w:pPr>
            <w:r>
              <w:rPr>
                <w:rFonts w:ascii="Arial" w:hAnsi="Arial" w:cs="Arial"/>
                <w:b/>
              </w:rPr>
              <w:t>2. Actions:</w:t>
            </w:r>
          </w:p>
          <w:p w:rsidR="007B64F4" w:rsidRDefault="007B64F4" w:rsidP="007B64F4">
            <w:pPr>
              <w:ind w:left="1985" w:hanging="1985"/>
              <w:rPr>
                <w:rFonts w:ascii="Arial" w:hAnsi="Arial" w:cs="Arial"/>
                <w:b/>
              </w:rPr>
            </w:pPr>
            <w:r>
              <w:rPr>
                <w:rFonts w:ascii="Arial" w:hAnsi="Arial" w:cs="Arial"/>
                <w:b/>
              </w:rPr>
              <w:t xml:space="preserve">To </w:t>
            </w:r>
            <w:r>
              <w:rPr>
                <w:rFonts w:ascii="Arial" w:hAnsi="Arial" w:cs="Arial"/>
                <w:b/>
                <w:lang w:eastAsia="ko-KR"/>
              </w:rPr>
              <w:t>RAN WG1</w:t>
            </w:r>
            <w:r>
              <w:rPr>
                <w:rFonts w:ascii="Arial" w:hAnsi="Arial" w:cs="Arial"/>
                <w:b/>
              </w:rPr>
              <w:t>:</w:t>
            </w:r>
          </w:p>
          <w:p w:rsidR="00E41DB4" w:rsidRPr="00880392" w:rsidRDefault="007B64F4" w:rsidP="00880392">
            <w:pPr>
              <w:pStyle w:val="Header"/>
              <w:tabs>
                <w:tab w:val="left" w:pos="720"/>
              </w:tabs>
              <w:spacing w:after="120"/>
              <w:rPr>
                <w:rFonts w:cs="Arial"/>
                <w:b w:val="0"/>
                <w:bCs/>
                <w:lang w:eastAsia="ko-KR"/>
              </w:rPr>
            </w:pPr>
            <w:r w:rsidRPr="007B64F4">
              <w:rPr>
                <w:rFonts w:cs="Arial"/>
                <w:b w:val="0"/>
                <w:bCs/>
              </w:rPr>
              <w:t xml:space="preserve">RAN WG4 </w:t>
            </w:r>
            <w:r w:rsidRPr="007B64F4">
              <w:rPr>
                <w:rFonts w:cs="Arial"/>
                <w:b w:val="0"/>
                <w:bCs/>
                <w:lang w:eastAsia="ko-KR"/>
              </w:rPr>
              <w:t>respectfully asks RAN WG1 to evaluate the NR V2X sidelink operation taking into account the above recommendation. RAN4 will further study the remaining open issues in the upcoming meetings.</w:t>
            </w:r>
          </w:p>
        </w:tc>
      </w:tr>
    </w:tbl>
    <w:p w:rsidR="00E41DB4" w:rsidRPr="003E2B6A" w:rsidRDefault="007B64F4" w:rsidP="00E41DB4">
      <w:r>
        <w:lastRenderedPageBreak/>
        <w:t>In this contribution, we would like to focus on IBE model which RAN4 ag</w:t>
      </w:r>
      <w:r w:rsidR="00880392">
        <w:t>reed to have further discussion.</w:t>
      </w:r>
    </w:p>
    <w:p w:rsidR="0093161F" w:rsidRDefault="00E41DB4" w:rsidP="00F00497">
      <w:pPr>
        <w:pStyle w:val="Heading1"/>
        <w:rPr>
          <w:lang w:val="en-US"/>
        </w:rPr>
      </w:pPr>
      <w:r>
        <w:rPr>
          <w:lang w:val="en-US"/>
        </w:rPr>
        <w:t>Discussion</w:t>
      </w:r>
    </w:p>
    <w:p w:rsidR="00451A88" w:rsidRPr="00DF3E97" w:rsidRDefault="00E41DB4" w:rsidP="0093161F">
      <w:pPr>
        <w:pStyle w:val="Heading2"/>
        <w:rPr>
          <w:lang w:val="en-US"/>
        </w:rPr>
      </w:pPr>
      <w:r w:rsidRPr="00DF3E97">
        <w:rPr>
          <w:lang w:val="en-US"/>
        </w:rPr>
        <w:t>FR1 IBE Model</w:t>
      </w:r>
    </w:p>
    <w:p w:rsidR="00DF3E97" w:rsidRPr="00DF3E97" w:rsidRDefault="00DF3E97" w:rsidP="00943D04">
      <w:pPr>
        <w:jc w:val="both"/>
      </w:pPr>
      <w:r>
        <w:t xml:space="preserve">In V2X Sidelink communication systems, In-band emission characteristics play an important role and may have substantial impact on the performance as power control is typically used and UEs transmit with maximum output power. The major issue caused by this situation is a near-far problem where an IBE from a nearby UE could easily overwhelm the desired receive signal </w:t>
      </w:r>
      <w:r w:rsidR="002F3C25">
        <w:t xml:space="preserve">from </w:t>
      </w:r>
      <w:r>
        <w:t xml:space="preserve">another UE which is far from the receiver. </w:t>
      </w:r>
      <w:r w:rsidRPr="00DF3E97">
        <w:t xml:space="preserve">In </w:t>
      </w:r>
      <w:r w:rsidRPr="00943D04">
        <w:fldChar w:fldCharType="begin"/>
      </w:r>
      <w:r w:rsidRPr="00943D04">
        <w:instrText xml:space="preserve"> REF _Ref520879872 \h </w:instrText>
      </w:r>
      <w:r>
        <w:instrText xml:space="preserve"> \* MERGEFORMAT </w:instrText>
      </w:r>
      <w:r w:rsidRPr="00943D04">
        <w:fldChar w:fldCharType="separate"/>
      </w:r>
      <w:r w:rsidRPr="00943D04">
        <w:t xml:space="preserve">Figure </w:t>
      </w:r>
      <w:r w:rsidRPr="00943D04">
        <w:rPr>
          <w:noProof/>
        </w:rPr>
        <w:t>2</w:t>
      </w:r>
      <w:r w:rsidRPr="00943D04">
        <w:fldChar w:fldCharType="end"/>
      </w:r>
      <w:r w:rsidRPr="00943D04">
        <w:t xml:space="preserve">, we </w:t>
      </w:r>
      <w:r>
        <w:t>provide system-level simulation results which show the in-band emission impacts on the V2X performance (for more details on assumptions see [</w:t>
      </w:r>
      <w:r w:rsidR="0005456B">
        <w:t>3</w:t>
      </w:r>
      <w:r>
        <w:t>])</w:t>
      </w:r>
      <w:r w:rsidRPr="00DF3E97">
        <w:t>:</w:t>
      </w:r>
    </w:p>
    <w:p w:rsidR="00DF3E97" w:rsidRPr="00943D04" w:rsidRDefault="00DF3E97" w:rsidP="00023DD2">
      <w:pPr>
        <w:pStyle w:val="3GPPAgreements"/>
        <w:numPr>
          <w:ilvl w:val="0"/>
          <w:numId w:val="11"/>
        </w:numPr>
        <w:rPr>
          <w:sz w:val="20"/>
        </w:rPr>
      </w:pPr>
      <w:r w:rsidRPr="00943D04">
        <w:rPr>
          <w:sz w:val="20"/>
        </w:rPr>
        <w:t>Configuration 1: 10MHz BW and IBE on;</w:t>
      </w:r>
    </w:p>
    <w:p w:rsidR="00DF3E97" w:rsidRPr="00943D04" w:rsidRDefault="00DF3E97" w:rsidP="00023DD2">
      <w:pPr>
        <w:pStyle w:val="3GPPAgreements"/>
        <w:numPr>
          <w:ilvl w:val="0"/>
          <w:numId w:val="11"/>
        </w:numPr>
        <w:rPr>
          <w:sz w:val="20"/>
        </w:rPr>
      </w:pPr>
      <w:r w:rsidRPr="00943D04">
        <w:rPr>
          <w:sz w:val="20"/>
        </w:rPr>
        <w:t>Configuration 2: 10MHz BW and IBE off;</w:t>
      </w:r>
    </w:p>
    <w:p w:rsidR="00DF3E97" w:rsidRPr="00943D04" w:rsidRDefault="00DF3E97" w:rsidP="00023DD2">
      <w:pPr>
        <w:pStyle w:val="3GPPAgreements"/>
        <w:numPr>
          <w:ilvl w:val="0"/>
          <w:numId w:val="11"/>
        </w:numPr>
        <w:rPr>
          <w:sz w:val="20"/>
        </w:rPr>
      </w:pPr>
      <w:r w:rsidRPr="00943D04">
        <w:rPr>
          <w:sz w:val="20"/>
        </w:rPr>
        <w:t>Configuration 3: 40MHz BW and IBE on;</w:t>
      </w:r>
    </w:p>
    <w:p w:rsidR="00DF3E97" w:rsidRPr="00943D04" w:rsidRDefault="00DF3E97" w:rsidP="00023DD2">
      <w:pPr>
        <w:pStyle w:val="3GPPAgreements"/>
        <w:numPr>
          <w:ilvl w:val="0"/>
          <w:numId w:val="11"/>
        </w:numPr>
        <w:rPr>
          <w:sz w:val="20"/>
        </w:rPr>
      </w:pPr>
      <w:r w:rsidRPr="00943D04">
        <w:rPr>
          <w:sz w:val="20"/>
        </w:rPr>
        <w:t>Configuration 4: 40MHz BW and IBE off.</w:t>
      </w:r>
    </w:p>
    <w:p w:rsidR="00DF3E97" w:rsidRPr="00943D04" w:rsidRDefault="00DF3E97" w:rsidP="00DF3E97">
      <w:pPr>
        <w:pStyle w:val="3GPPText"/>
        <w:rPr>
          <w:sz w:val="20"/>
        </w:rPr>
      </w:pPr>
      <w:r w:rsidRPr="00943D04">
        <w:rPr>
          <w:sz w:val="20"/>
        </w:rPr>
        <w:lastRenderedPageBreak/>
        <w:t>Our system level evaluations show that Configuration 2 (i.e. 10MHz BW without IBE impact) gives better performance than Configuration 3 (i.e. 40MHz BW with IBE impact). This means that solutions to reduc</w:t>
      </w:r>
      <w:r w:rsidRPr="00DF3E97">
        <w:rPr>
          <w:sz w:val="20"/>
        </w:rPr>
        <w:t xml:space="preserve">e the level of IBE are of </w:t>
      </w:r>
      <w:r w:rsidRPr="00943D04">
        <w:rPr>
          <w:sz w:val="20"/>
        </w:rPr>
        <w:t xml:space="preserve">high importance </w:t>
      </w:r>
      <w:r>
        <w:rPr>
          <w:sz w:val="20"/>
        </w:rPr>
        <w:t>to</w:t>
      </w:r>
      <w:r w:rsidRPr="00943D04">
        <w:rPr>
          <w:sz w:val="20"/>
        </w:rPr>
        <w:t xml:space="preserve"> </w:t>
      </w:r>
      <w:r>
        <w:rPr>
          <w:sz w:val="20"/>
        </w:rPr>
        <w:t>improve the performance of NR V2X</w:t>
      </w:r>
      <w:r w:rsidRPr="00943D04">
        <w:rPr>
          <w:sz w:val="20"/>
        </w:rPr>
        <w:t>.</w:t>
      </w:r>
    </w:p>
    <w:p w:rsidR="00DF3E97" w:rsidRDefault="00FE1B11" w:rsidP="00DF3E97">
      <w:pPr>
        <w:pStyle w:val="3GPPText"/>
        <w:jc w:val="center"/>
      </w:pPr>
      <w:r w:rsidRPr="00DF3E97">
        <w:rPr>
          <w:noProof/>
          <w:lang w:eastAsia="ko-KR"/>
        </w:rPr>
        <w:drawing>
          <wp:inline distT="0" distB="0" distL="0" distR="0">
            <wp:extent cx="2880197" cy="21600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197" cy="2160000"/>
                    </a:xfrm>
                    <a:prstGeom prst="rect">
                      <a:avLst/>
                    </a:prstGeom>
                    <a:noFill/>
                    <a:ln>
                      <a:noFill/>
                    </a:ln>
                  </pic:spPr>
                </pic:pic>
              </a:graphicData>
            </a:graphic>
          </wp:inline>
        </w:drawing>
      </w:r>
    </w:p>
    <w:p w:rsidR="00DF3E97" w:rsidRPr="007C1839" w:rsidRDefault="00DF3E97" w:rsidP="00DF3E97">
      <w:pPr>
        <w:pStyle w:val="Caption"/>
        <w:jc w:val="center"/>
        <w:rPr>
          <w:sz w:val="20"/>
        </w:rPr>
      </w:pPr>
      <w:bookmarkStart w:id="3" w:name="_Ref520879872"/>
      <w:r w:rsidRPr="007C1839">
        <w:rPr>
          <w:sz w:val="20"/>
        </w:rPr>
        <w:t xml:space="preserve">Figure </w:t>
      </w:r>
      <w:r w:rsidRPr="007C1839">
        <w:rPr>
          <w:sz w:val="20"/>
        </w:rPr>
        <w:fldChar w:fldCharType="begin"/>
      </w:r>
      <w:r w:rsidRPr="007C1839">
        <w:rPr>
          <w:sz w:val="20"/>
        </w:rPr>
        <w:instrText xml:space="preserve"> SEQ Figure \* ARABIC </w:instrText>
      </w:r>
      <w:r w:rsidRPr="007C1839">
        <w:rPr>
          <w:sz w:val="20"/>
        </w:rPr>
        <w:fldChar w:fldCharType="separate"/>
      </w:r>
      <w:r w:rsidR="008136DD" w:rsidRPr="007C1839">
        <w:rPr>
          <w:noProof/>
          <w:sz w:val="20"/>
        </w:rPr>
        <w:t>1</w:t>
      </w:r>
      <w:r w:rsidRPr="007C1839">
        <w:rPr>
          <w:sz w:val="20"/>
        </w:rPr>
        <w:fldChar w:fldCharType="end"/>
      </w:r>
      <w:bookmarkEnd w:id="3"/>
      <w:r w:rsidRPr="007C1839">
        <w:rPr>
          <w:sz w:val="20"/>
        </w:rPr>
        <w:t>: LTE-V2X performance for 10MHz and 40MHz BW w/ and w/o IBE impact</w:t>
      </w:r>
    </w:p>
    <w:p w:rsidR="007C1839" w:rsidRDefault="007C1839" w:rsidP="00943D04">
      <w:pPr>
        <w:jc w:val="both"/>
      </w:pPr>
    </w:p>
    <w:p w:rsidR="00521642" w:rsidRDefault="00DF3E97" w:rsidP="00943D04">
      <w:pPr>
        <w:jc w:val="both"/>
      </w:pPr>
      <w:r>
        <w:t xml:space="preserve">We would like to </w:t>
      </w:r>
      <w:r w:rsidR="00C26181">
        <w:t>remind</w:t>
      </w:r>
      <w:r>
        <w:t xml:space="preserve"> that during the LTE sidelink discussions the issue on IBE model was raised. As an outcome, </w:t>
      </w:r>
      <w:r w:rsidR="00C26181">
        <w:t>a</w:t>
      </w:r>
      <w:r>
        <w:t xml:space="preserve"> more strict IBE model was agreed for RAN1 sidelink evaluations, where additional offsets on value of </w:t>
      </w:r>
      <w:r w:rsidRPr="001D358D">
        <w:t>W,</w:t>
      </w:r>
      <w:r>
        <w:t xml:space="preserve"> </w:t>
      </w:r>
      <w:r w:rsidRPr="001D358D">
        <w:t>X,</w:t>
      </w:r>
      <w:r>
        <w:t xml:space="preserve"> </w:t>
      </w:r>
      <w:r w:rsidRPr="001D358D">
        <w:t>Y,</w:t>
      </w:r>
      <w:r>
        <w:t xml:space="preserve"> </w:t>
      </w:r>
      <w:r w:rsidRPr="001D358D">
        <w:t xml:space="preserve">Z </w:t>
      </w:r>
      <w:r>
        <w:t>for single cluster transmissions was set to [3, 6, 3, 3] dB (</w:t>
      </w:r>
      <w:r w:rsidRPr="008F6055">
        <w:fldChar w:fldCharType="begin"/>
      </w:r>
      <w:r w:rsidRPr="008F6055">
        <w:instrText xml:space="preserve"> REF _Ref520882797 \n \h </w:instrText>
      </w:r>
      <w:r>
        <w:instrText xml:space="preserve"> \* MERGEFORMAT </w:instrText>
      </w:r>
      <w:r w:rsidRPr="008F6055">
        <w:fldChar w:fldCharType="separate"/>
      </w:r>
      <w:r>
        <w:t>[</w:t>
      </w:r>
      <w:r w:rsidR="00F55C34">
        <w:t>4</w:t>
      </w:r>
      <w:r>
        <w:t>]</w:t>
      </w:r>
      <w:r w:rsidRPr="008F6055">
        <w:fldChar w:fldCharType="end"/>
      </w:r>
      <w:r w:rsidRPr="008F6055">
        <w:t>). Later</w:t>
      </w:r>
      <w:r>
        <w:t xml:space="preserve"> on this model was also reused </w:t>
      </w:r>
      <w:r w:rsidR="00F55C34">
        <w:t>for LTE-V2X sidelink evaluations</w:t>
      </w:r>
      <w:r>
        <w:t>.</w:t>
      </w:r>
      <w:r w:rsidR="00521642">
        <w:t xml:space="preserve"> </w:t>
      </w:r>
    </w:p>
    <w:p w:rsidR="00DF3E97" w:rsidRDefault="00521642" w:rsidP="00943D04">
      <w:pPr>
        <w:jc w:val="both"/>
      </w:pPr>
      <w:r>
        <w:t>For the NR V2X model, we have also identified that current NR FR1 UL IBE mask is quite relaxed comparing to what UE could potentially achieve</w:t>
      </w:r>
      <w:r w:rsidR="00BD0F10">
        <w:t>d</w:t>
      </w:r>
      <w:r>
        <w:t xml:space="preserve"> in practice and not directly applicable for V2X use cases. </w:t>
      </w:r>
      <w:r w:rsidR="00DF3E97">
        <w:t xml:space="preserve">In fact, the V2X IBE is just a replica of </w:t>
      </w:r>
      <w:r w:rsidR="00BD0F10">
        <w:t xml:space="preserve">the </w:t>
      </w:r>
      <w:r w:rsidR="00DF3E97">
        <w:t xml:space="preserve">LTE IBE, and </w:t>
      </w:r>
      <w:r w:rsidR="00DF3E97">
        <w:rPr>
          <w:noProof/>
        </w:rPr>
        <w:t xml:space="preserve">the current requirement is almost meaningless for a real application from our analysis. </w:t>
      </w:r>
      <w:r w:rsidR="00DF3E97">
        <w:t>We believe it is good time to discuss a new IBE mask which fits for realistic V2X application scenario, i.e. no uplink power control, and we propose to tighten up the current requirement</w:t>
      </w:r>
      <w:r w:rsidR="00F55C34">
        <w:t>s</w:t>
      </w:r>
      <w:r w:rsidR="00DF3E97">
        <w:t>.</w:t>
      </w:r>
    </w:p>
    <w:p w:rsidR="00880392" w:rsidRDefault="00880392" w:rsidP="00943D04">
      <w:pPr>
        <w:jc w:val="both"/>
      </w:pPr>
    </w:p>
    <w:p w:rsidR="00521642" w:rsidRDefault="00521642" w:rsidP="00521642">
      <w:pPr>
        <w:jc w:val="both"/>
        <w:rPr>
          <w:i/>
        </w:rPr>
      </w:pPr>
      <w:r>
        <w:rPr>
          <w:b/>
          <w:i/>
        </w:rPr>
        <w:t>Observation</w:t>
      </w:r>
      <w:r w:rsidR="001879D3">
        <w:rPr>
          <w:b/>
          <w:i/>
        </w:rPr>
        <w:t xml:space="preserve"> #1</w:t>
      </w:r>
      <w:r>
        <w:rPr>
          <w:i/>
        </w:rPr>
        <w:t xml:space="preserve">: The current in-band emission mask for </w:t>
      </w:r>
      <w:r w:rsidR="00BD0F10">
        <w:rPr>
          <w:i/>
        </w:rPr>
        <w:t xml:space="preserve">LTE </w:t>
      </w:r>
      <w:r>
        <w:rPr>
          <w:i/>
        </w:rPr>
        <w:t>V2X is too relaxed.</w:t>
      </w:r>
    </w:p>
    <w:p w:rsidR="00796726" w:rsidRDefault="00796726" w:rsidP="00844D93">
      <w:pPr>
        <w:jc w:val="both"/>
      </w:pPr>
    </w:p>
    <w:p w:rsidR="00F61C45" w:rsidRDefault="007B64F4" w:rsidP="00844D93">
      <w:pPr>
        <w:jc w:val="both"/>
      </w:pPr>
      <w:r w:rsidRPr="007C1839">
        <w:t xml:space="preserve">It is important to understand the </w:t>
      </w:r>
      <w:r w:rsidR="00076D95" w:rsidRPr="007C1839">
        <w:t>differences</w:t>
      </w:r>
      <w:r w:rsidRPr="007C1839">
        <w:t xml:space="preserve"> of </w:t>
      </w:r>
      <w:r w:rsidR="00076D95" w:rsidRPr="007C1839">
        <w:t xml:space="preserve">real </w:t>
      </w:r>
      <w:r w:rsidRPr="007C1839">
        <w:t>operation between V2X UE and normal handheld</w:t>
      </w:r>
      <w:r w:rsidR="00F61C45" w:rsidRPr="007C1839">
        <w:t xml:space="preserve"> (HH)</w:t>
      </w:r>
      <w:r w:rsidRPr="007C1839">
        <w:t xml:space="preserve"> UE. In normal handheld</w:t>
      </w:r>
      <w:r w:rsidR="00A7001C" w:rsidRPr="007C1839">
        <w:t xml:space="preserve"> UE, </w:t>
      </w:r>
      <w:r w:rsidR="00076D95" w:rsidRPr="007C1839">
        <w:t xml:space="preserve">it is power supply limited operation and power efficiency is the most important metric. </w:t>
      </w:r>
      <w:r w:rsidR="00D046D4" w:rsidRPr="007C1839">
        <w:t xml:space="preserve">There are trade-offs among PAPR/Output Power, In-Band Emission, and ACLR. Considering </w:t>
      </w:r>
      <w:r w:rsidR="00F61C45" w:rsidRPr="007C1839">
        <w:t>HH</w:t>
      </w:r>
      <w:r w:rsidR="00D046D4" w:rsidRPr="007C1839">
        <w:t xml:space="preserve"> UE supports higher power class, i.e. PC2 or even higher, tightening IBE is not a </w:t>
      </w:r>
      <w:r w:rsidR="00880392" w:rsidRPr="007C1839">
        <w:t>viable</w:t>
      </w:r>
      <w:r w:rsidR="00D046D4" w:rsidRPr="007C1839">
        <w:t xml:space="preserve"> option as tightening IBE would make lower output power to fulfil other RF requirement</w:t>
      </w:r>
      <w:r w:rsidR="00F61C45" w:rsidRPr="007C1839">
        <w:t>s</w:t>
      </w:r>
      <w:r w:rsidR="00880392" w:rsidRPr="007C1839">
        <w:t xml:space="preserve"> and power efficiency should be the primary interest</w:t>
      </w:r>
      <w:r w:rsidR="00D046D4" w:rsidRPr="007C1839">
        <w:t xml:space="preserve">. </w:t>
      </w:r>
      <w:r w:rsidR="00076D95" w:rsidRPr="007C1839">
        <w:t xml:space="preserve">However, V2X UE will not </w:t>
      </w:r>
      <w:r w:rsidR="004A166B">
        <w:t>have such a</w:t>
      </w:r>
      <w:r w:rsidR="00076D95" w:rsidRPr="007C1839">
        <w:t xml:space="preserve"> power supply </w:t>
      </w:r>
      <w:r w:rsidR="00D046D4" w:rsidRPr="007C1839">
        <w:t>limitation</w:t>
      </w:r>
      <w:r w:rsidR="00076D95" w:rsidRPr="007C1839">
        <w:t xml:space="preserve"> as long as </w:t>
      </w:r>
      <w:r w:rsidR="00D046D4" w:rsidRPr="007C1839">
        <w:t xml:space="preserve">an </w:t>
      </w:r>
      <w:r w:rsidR="00076D95" w:rsidRPr="007C1839">
        <w:t>automotive operate</w:t>
      </w:r>
      <w:r w:rsidR="00E8563C" w:rsidRPr="007C1839">
        <w:t xml:space="preserve">s and power efficiency </w:t>
      </w:r>
      <w:r w:rsidR="00F61C45" w:rsidRPr="007C1839">
        <w:t xml:space="preserve">is no longer a valid </w:t>
      </w:r>
      <w:r w:rsidR="00060A9B" w:rsidRPr="007C1839">
        <w:t xml:space="preserve">concern compared to HH UE. Having the near-far issue in V2X, RAN4 could come up with better solution for V2X performance by tightening IBE requirement while sacrificing power efficiency which is </w:t>
      </w:r>
      <w:r w:rsidR="004A166B">
        <w:t>no more</w:t>
      </w:r>
      <w:r w:rsidR="00060A9B" w:rsidRPr="007C1839">
        <w:t xml:space="preserve"> concern for V2X UE.</w:t>
      </w:r>
    </w:p>
    <w:p w:rsidR="00880392" w:rsidRDefault="00880392" w:rsidP="00844D93">
      <w:pPr>
        <w:jc w:val="both"/>
      </w:pPr>
    </w:p>
    <w:p w:rsidR="00F61C45" w:rsidRDefault="00F61C45" w:rsidP="00F61C45">
      <w:pPr>
        <w:jc w:val="both"/>
        <w:rPr>
          <w:i/>
        </w:rPr>
      </w:pPr>
      <w:r w:rsidRPr="00FC6672">
        <w:rPr>
          <w:b/>
          <w:i/>
        </w:rPr>
        <w:t>Observation</w:t>
      </w:r>
      <w:r w:rsidR="001879D3">
        <w:rPr>
          <w:b/>
          <w:i/>
        </w:rPr>
        <w:t xml:space="preserve"> #2</w:t>
      </w:r>
      <w:r w:rsidRPr="001879D3">
        <w:rPr>
          <w:i/>
        </w:rPr>
        <w:t>:</w:t>
      </w:r>
      <w:r w:rsidRPr="00FC6672">
        <w:rPr>
          <w:i/>
        </w:rPr>
        <w:t xml:space="preserve"> </w:t>
      </w:r>
      <w:r w:rsidR="00060A9B">
        <w:rPr>
          <w:i/>
        </w:rPr>
        <w:t xml:space="preserve">The key </w:t>
      </w:r>
      <w:r>
        <w:rPr>
          <w:i/>
        </w:rPr>
        <w:t xml:space="preserve">difference in real operation between NR </w:t>
      </w:r>
      <w:r w:rsidR="00060A9B">
        <w:rPr>
          <w:i/>
        </w:rPr>
        <w:t xml:space="preserve">HH UE and V2X UE where power efficiency is the most important metric for HH UE while it is not the case for V2X UE </w:t>
      </w:r>
    </w:p>
    <w:p w:rsidR="00060A9B" w:rsidRDefault="00060A9B" w:rsidP="00F61C45">
      <w:pPr>
        <w:jc w:val="both"/>
        <w:rPr>
          <w:i/>
        </w:rPr>
      </w:pPr>
    </w:p>
    <w:p w:rsidR="001879D3" w:rsidRPr="001879D3" w:rsidRDefault="00060A9B" w:rsidP="001879D3">
      <w:pPr>
        <w:jc w:val="both"/>
        <w:rPr>
          <w:i/>
        </w:rPr>
      </w:pPr>
      <w:r w:rsidRPr="001879D3">
        <w:rPr>
          <w:b/>
          <w:i/>
        </w:rPr>
        <w:t>Observation</w:t>
      </w:r>
      <w:r w:rsidR="001879D3">
        <w:rPr>
          <w:b/>
          <w:i/>
        </w:rPr>
        <w:t xml:space="preserve"> #3</w:t>
      </w:r>
      <w:r w:rsidRPr="001879D3">
        <w:t xml:space="preserve">: </w:t>
      </w:r>
      <w:r w:rsidR="001879D3" w:rsidRPr="001879D3">
        <w:rPr>
          <w:i/>
        </w:rPr>
        <w:t xml:space="preserve">Having the near-far issue in V2X, RAN4 could come up with better solution for V2X performance by tightening IBE requirement while sacrificing power efficiency which is </w:t>
      </w:r>
      <w:r w:rsidR="004A166B">
        <w:rPr>
          <w:i/>
        </w:rPr>
        <w:t>no more</w:t>
      </w:r>
      <w:r w:rsidR="001879D3" w:rsidRPr="001879D3">
        <w:rPr>
          <w:i/>
        </w:rPr>
        <w:t xml:space="preserve"> concern for V2X UE.</w:t>
      </w:r>
    </w:p>
    <w:p w:rsidR="00796726" w:rsidRDefault="00796726" w:rsidP="00844D93">
      <w:pPr>
        <w:jc w:val="both"/>
      </w:pPr>
    </w:p>
    <w:p w:rsidR="00880392" w:rsidRPr="00880392" w:rsidRDefault="00880392" w:rsidP="00844D93">
      <w:pPr>
        <w:jc w:val="both"/>
        <w:rPr>
          <w:i/>
        </w:rPr>
      </w:pPr>
      <w:r w:rsidRPr="00880392">
        <w:rPr>
          <w:b/>
          <w:i/>
        </w:rPr>
        <w:t>Proposal #1</w:t>
      </w:r>
      <w:r w:rsidRPr="00880392">
        <w:rPr>
          <w:i/>
        </w:rPr>
        <w:t>: RAN4 agrees on tightening V2X IBE requirement.</w:t>
      </w:r>
    </w:p>
    <w:p w:rsidR="00880392" w:rsidRDefault="00880392" w:rsidP="00844D93">
      <w:pPr>
        <w:jc w:val="both"/>
      </w:pPr>
    </w:p>
    <w:p w:rsidR="00844D93" w:rsidRDefault="00844D93" w:rsidP="00844D93">
      <w:pPr>
        <w:jc w:val="both"/>
      </w:pPr>
      <w:r>
        <w:t>Below we provide views on the IBE characteristics which are feasible from the implementation perspective</w:t>
      </w:r>
      <w:r w:rsidR="00A204ED">
        <w:t xml:space="preserve"> for V2X operation</w:t>
      </w:r>
      <w:r>
        <w:t>:</w:t>
      </w:r>
    </w:p>
    <w:tbl>
      <w:tblPr>
        <w:tblStyle w:val="TableGrid"/>
        <w:tblW w:w="5000" w:type="pct"/>
        <w:tblLook w:val="04A0" w:firstRow="1" w:lastRow="0" w:firstColumn="1" w:lastColumn="0" w:noHBand="0" w:noVBand="1"/>
      </w:tblPr>
      <w:tblGrid>
        <w:gridCol w:w="1616"/>
        <w:gridCol w:w="8013"/>
      </w:tblGrid>
      <w:tr w:rsidR="00844D93" w:rsidRPr="00220F1A" w:rsidTr="00880392">
        <w:tc>
          <w:tcPr>
            <w:tcW w:w="839" w:type="pct"/>
            <w:shd w:val="clear" w:color="auto" w:fill="D9E2F3" w:themeFill="accent5" w:themeFillTint="33"/>
          </w:tcPr>
          <w:p w:rsidR="00844D93" w:rsidRPr="00220F1A" w:rsidRDefault="00844D93" w:rsidP="00751A09">
            <w:pPr>
              <w:keepNext/>
              <w:spacing w:before="60" w:after="60" w:line="240" w:lineRule="auto"/>
              <w:rPr>
                <w:rFonts w:cs="Arial"/>
                <w:b/>
              </w:rPr>
            </w:pPr>
            <w:r w:rsidRPr="00220F1A">
              <w:rPr>
                <w:rFonts w:cs="Arial"/>
                <w:b/>
              </w:rPr>
              <w:lastRenderedPageBreak/>
              <w:t>Component</w:t>
            </w:r>
          </w:p>
        </w:tc>
        <w:tc>
          <w:tcPr>
            <w:tcW w:w="4161" w:type="pct"/>
            <w:shd w:val="clear" w:color="auto" w:fill="D9E2F3" w:themeFill="accent5" w:themeFillTint="33"/>
          </w:tcPr>
          <w:p w:rsidR="00844D93" w:rsidRPr="00220F1A" w:rsidRDefault="00844D93" w:rsidP="00751A09">
            <w:pPr>
              <w:keepNext/>
              <w:spacing w:before="60" w:after="60" w:line="240" w:lineRule="auto"/>
              <w:rPr>
                <w:b/>
              </w:rPr>
            </w:pPr>
            <w:r w:rsidRPr="00220F1A">
              <w:rPr>
                <w:b/>
              </w:rPr>
              <w:t>Comments</w:t>
            </w:r>
          </w:p>
        </w:tc>
      </w:tr>
      <w:tr w:rsidR="00844D93" w:rsidTr="00880392">
        <w:trPr>
          <w:trHeight w:val="2345"/>
        </w:trPr>
        <w:tc>
          <w:tcPr>
            <w:tcW w:w="839" w:type="pct"/>
          </w:tcPr>
          <w:p w:rsidR="00844D93" w:rsidRDefault="00844D93" w:rsidP="00A52C94">
            <w:pPr>
              <w:spacing w:before="60" w:after="60" w:line="240" w:lineRule="auto"/>
              <w:jc w:val="left"/>
            </w:pPr>
            <w:r w:rsidRPr="00611CC4">
              <w:rPr>
                <w:rFonts w:cs="Arial"/>
              </w:rPr>
              <w:t>General</w:t>
            </w:r>
            <w:r>
              <w:rPr>
                <w:rFonts w:cs="Arial"/>
              </w:rPr>
              <w:t xml:space="preserve"> IBE</w:t>
            </w:r>
            <w:r w:rsidR="00A52C94">
              <w:rPr>
                <w:rFonts w:cs="Arial"/>
              </w:rPr>
              <w:t xml:space="preserve"> component</w:t>
            </w:r>
          </w:p>
        </w:tc>
        <w:tc>
          <w:tcPr>
            <w:tcW w:w="4161" w:type="pct"/>
          </w:tcPr>
          <w:p w:rsidR="00844D93" w:rsidRDefault="00844D93" w:rsidP="00751A09">
            <w:pPr>
              <w:spacing w:before="60" w:after="60" w:line="240" w:lineRule="auto"/>
            </w:pPr>
            <w:r w:rsidRPr="00220F1A">
              <w:t xml:space="preserve">Due to technology advancement the general </w:t>
            </w:r>
            <w:r>
              <w:t xml:space="preserve">TX </w:t>
            </w:r>
            <w:r w:rsidRPr="00220F1A">
              <w:t>IBE limits can be tightened</w:t>
            </w:r>
            <w:r>
              <w:t xml:space="preserve"> </w:t>
            </w:r>
          </w:p>
          <w:p w:rsidR="00844D93" w:rsidRPr="00220F1A" w:rsidRDefault="001879D3" w:rsidP="00751A09">
            <w:pPr>
              <w:pStyle w:val="ListParagraph"/>
              <w:numPr>
                <w:ilvl w:val="0"/>
                <w:numId w:val="21"/>
              </w:numPr>
              <w:spacing w:before="60" w:after="60"/>
              <w:rPr>
                <w:rFonts w:ascii="Times New Roman" w:hAnsi="Times New Roman"/>
                <w:sz w:val="20"/>
              </w:rPr>
            </w:pPr>
            <w:r>
              <w:rPr>
                <w:rFonts w:ascii="Times New Roman" w:hAnsi="Times New Roman"/>
                <w:sz w:val="20"/>
                <w:lang w:val="en-GB"/>
              </w:rPr>
              <w:t>7</w:t>
            </w:r>
            <w:r w:rsidR="00844D93" w:rsidRPr="00220F1A">
              <w:rPr>
                <w:rFonts w:ascii="Times New Roman" w:hAnsi="Times New Roman"/>
                <w:sz w:val="20"/>
              </w:rPr>
              <w:t>dB tightening is feasible for</w:t>
            </w:r>
            <w:r w:rsidR="00844D93">
              <w:rPr>
                <w:rFonts w:ascii="Times New Roman" w:hAnsi="Times New Roman"/>
                <w:sz w:val="20"/>
              </w:rPr>
              <w:t xml:space="preserve"> the noise floor component (</w:t>
            </w:r>
            <w:r w:rsidR="00844D93" w:rsidRPr="00220F1A">
              <w:rPr>
                <w:rFonts w:ascii="Times New Roman" w:hAnsi="Times New Roman"/>
                <w:sz w:val="20"/>
              </w:rPr>
              <w:t>“</w:t>
            </w:r>
            <w:r w:rsidR="00844D93" w:rsidRPr="00220F1A">
              <w:rPr>
                <w:rFonts w:ascii="Times New Roman" w:hAnsi="Times New Roman"/>
                <w:position w:val="-12"/>
                <w:sz w:val="20"/>
              </w:rPr>
              <w:object w:dxaOrig="2580" w:dyaOrig="360">
                <v:shape id="_x0000_i1026" type="#_x0000_t75" style="width:113.2pt;height:16pt" o:ole="">
                  <v:imagedata r:id="rId15" o:title=""/>
                </v:shape>
                <o:OLEObject Type="Embed" ProgID="Equation.DSMT4" ShapeID="_x0000_i1026" DrawAspect="Content" ObjectID="_1615580014" r:id="rId16"/>
              </w:object>
            </w:r>
            <w:r w:rsidR="00844D93" w:rsidRPr="00220F1A">
              <w:rPr>
                <w:rFonts w:ascii="Times New Roman" w:hAnsi="Times New Roman"/>
                <w:sz w:val="20"/>
              </w:rPr>
              <w:t>”</w:t>
            </w:r>
            <w:r w:rsidR="00844D93">
              <w:rPr>
                <w:rFonts w:ascii="Times New Roman" w:hAnsi="Times New Roman"/>
                <w:sz w:val="20"/>
              </w:rPr>
              <w:t>)</w:t>
            </w:r>
          </w:p>
          <w:p w:rsidR="00844D93" w:rsidRPr="00220F1A" w:rsidRDefault="00844D93" w:rsidP="00751A09">
            <w:pPr>
              <w:pStyle w:val="ListParagraph"/>
              <w:numPr>
                <w:ilvl w:val="0"/>
                <w:numId w:val="21"/>
              </w:numPr>
              <w:spacing w:before="60" w:after="60"/>
              <w:rPr>
                <w:rFonts w:ascii="Times New Roman" w:hAnsi="Times New Roman"/>
                <w:sz w:val="20"/>
              </w:rPr>
            </w:pPr>
            <w:r w:rsidRPr="00220F1A">
              <w:rPr>
                <w:rFonts w:ascii="Times New Roman" w:hAnsi="Times New Roman"/>
                <w:sz w:val="20"/>
              </w:rPr>
              <w:t>Achievable tightening for</w:t>
            </w:r>
            <w:r>
              <w:rPr>
                <w:rFonts w:ascii="Times New Roman" w:hAnsi="Times New Roman"/>
                <w:sz w:val="20"/>
              </w:rPr>
              <w:t xml:space="preserve"> the </w:t>
            </w:r>
            <w:r w:rsidRPr="00220F1A">
              <w:rPr>
                <w:rFonts w:ascii="Times New Roman" w:hAnsi="Times New Roman"/>
                <w:sz w:val="20"/>
              </w:rPr>
              <w:t>“</w:t>
            </w:r>
            <w:r w:rsidRPr="00220F1A">
              <w:rPr>
                <w:rFonts w:ascii="Times New Roman" w:hAnsi="Times New Roman"/>
                <w:position w:val="-14"/>
                <w:sz w:val="20"/>
              </w:rPr>
              <w:object w:dxaOrig="3660" w:dyaOrig="400">
                <v:shape id="_x0000_i1027" type="#_x0000_t75" style="width:154.8pt;height:17.2pt" o:ole="">
                  <v:imagedata r:id="rId17" o:title=""/>
                </v:shape>
                <o:OLEObject Type="Embed" ProgID="Equation.DSMT4" ShapeID="_x0000_i1027" DrawAspect="Content" ObjectID="_1615580015" r:id="rId18"/>
              </w:object>
            </w:r>
            <w:r w:rsidRPr="00220F1A">
              <w:rPr>
                <w:rFonts w:ascii="Times New Roman" w:hAnsi="Times New Roman"/>
                <w:sz w:val="20"/>
              </w:rPr>
              <w:t>” component typically depends on the TX modulation order. Two approaches can be considered:</w:t>
            </w:r>
          </w:p>
          <w:p w:rsidR="00844D93" w:rsidRPr="00220F1A" w:rsidRDefault="001879D3" w:rsidP="00751A09">
            <w:pPr>
              <w:pStyle w:val="ListParagraph"/>
              <w:numPr>
                <w:ilvl w:val="1"/>
                <w:numId w:val="21"/>
              </w:numPr>
              <w:spacing w:before="60" w:after="60"/>
              <w:rPr>
                <w:rFonts w:ascii="Times New Roman" w:hAnsi="Times New Roman"/>
                <w:sz w:val="20"/>
              </w:rPr>
            </w:pPr>
            <w:r>
              <w:rPr>
                <w:rFonts w:ascii="Times New Roman" w:hAnsi="Times New Roman"/>
                <w:sz w:val="20"/>
              </w:rPr>
              <w:t>Option 1: Apply tightening 0/4/7</w:t>
            </w:r>
            <w:r w:rsidR="00844D93" w:rsidRPr="00220F1A">
              <w:rPr>
                <w:rFonts w:ascii="Times New Roman" w:hAnsi="Times New Roman"/>
                <w:sz w:val="20"/>
              </w:rPr>
              <w:t xml:space="preserve"> dB tightening for 64QAM / 16QAM / QPSK</w:t>
            </w:r>
          </w:p>
          <w:p w:rsidR="00844D93" w:rsidRPr="00220F1A" w:rsidRDefault="00844D93" w:rsidP="00844D93">
            <w:pPr>
              <w:pStyle w:val="ListParagraph"/>
              <w:numPr>
                <w:ilvl w:val="1"/>
                <w:numId w:val="21"/>
              </w:numPr>
              <w:spacing w:before="60" w:after="60"/>
              <w:rPr>
                <w:i/>
              </w:rPr>
            </w:pPr>
            <w:r w:rsidRPr="00220F1A">
              <w:rPr>
                <w:rFonts w:ascii="Times New Roman" w:hAnsi="Times New Roman"/>
                <w:sz w:val="20"/>
              </w:rPr>
              <w:t xml:space="preserve">Option 2: Modify the component as follows: </w:t>
            </w:r>
            <w:r w:rsidRPr="00220F1A">
              <w:rPr>
                <w:rFonts w:ascii="Times New Roman" w:hAnsi="Times New Roman"/>
                <w:i/>
                <w:sz w:val="20"/>
              </w:rPr>
              <w:t>min(-20log10EVM, -25) – 3 – 5 (|ΔRB|-1)/LCRB</w:t>
            </w:r>
          </w:p>
        </w:tc>
      </w:tr>
      <w:tr w:rsidR="00844D93" w:rsidTr="00880392">
        <w:tc>
          <w:tcPr>
            <w:tcW w:w="839" w:type="pct"/>
          </w:tcPr>
          <w:p w:rsidR="00844D93" w:rsidRDefault="00844D93" w:rsidP="00751A09">
            <w:pPr>
              <w:spacing w:before="60" w:after="60" w:line="240" w:lineRule="auto"/>
            </w:pPr>
            <w:r>
              <w:t>IQ image</w:t>
            </w:r>
          </w:p>
        </w:tc>
        <w:tc>
          <w:tcPr>
            <w:tcW w:w="4161" w:type="pct"/>
          </w:tcPr>
          <w:p w:rsidR="00844D93" w:rsidRPr="00220F1A" w:rsidRDefault="00844D93" w:rsidP="00A52C94">
            <w:pPr>
              <w:spacing w:before="60" w:after="60" w:line="240" w:lineRule="auto"/>
            </w:pPr>
            <w:r w:rsidRPr="00220F1A">
              <w:t xml:space="preserve">Due to technology advancements in IC process/design as well as RF/IF impairment compensation, IQ image issue becomes less challenging in current implementation and not a bottle neck any more for the performance requirement. </w:t>
            </w:r>
            <w:r w:rsidR="00A52C94">
              <w:t>In general, the IQ component can be removed from the IBE table.</w:t>
            </w:r>
          </w:p>
        </w:tc>
      </w:tr>
      <w:tr w:rsidR="00844D93" w:rsidTr="00880392">
        <w:tc>
          <w:tcPr>
            <w:tcW w:w="839" w:type="pct"/>
          </w:tcPr>
          <w:p w:rsidR="00844D93" w:rsidRDefault="00844D93" w:rsidP="00751A09">
            <w:pPr>
              <w:spacing w:before="60" w:after="60" w:line="240" w:lineRule="auto"/>
            </w:pPr>
            <w:r w:rsidRPr="00611CC4">
              <w:rPr>
                <w:rFonts w:cs="Arial"/>
              </w:rPr>
              <w:t>Carrier leakage</w:t>
            </w:r>
          </w:p>
        </w:tc>
        <w:tc>
          <w:tcPr>
            <w:tcW w:w="4161" w:type="pct"/>
          </w:tcPr>
          <w:p w:rsidR="00844D93" w:rsidRDefault="00844D93" w:rsidP="00844D93">
            <w:pPr>
              <w:spacing w:before="60" w:after="60" w:line="240" w:lineRule="auto"/>
            </w:pPr>
            <w:r>
              <w:t xml:space="preserve">10 dB tightening of the carrier leakage can be considered at least for ≥ </w:t>
            </w:r>
            <w:r w:rsidRPr="00611CC4">
              <w:rPr>
                <w:rFonts w:cs="Arial"/>
              </w:rPr>
              <w:t xml:space="preserve">0 dBm </w:t>
            </w:r>
            <w:r>
              <w:rPr>
                <w:rFonts w:cs="Arial"/>
              </w:rPr>
              <w:t>o</w:t>
            </w:r>
            <w:r w:rsidRPr="00611CC4">
              <w:rPr>
                <w:rFonts w:cs="Arial"/>
              </w:rPr>
              <w:t>utput power</w:t>
            </w:r>
          </w:p>
        </w:tc>
      </w:tr>
      <w:tr w:rsidR="00844D93" w:rsidTr="00880392">
        <w:tc>
          <w:tcPr>
            <w:tcW w:w="839" w:type="pct"/>
          </w:tcPr>
          <w:p w:rsidR="00844D93" w:rsidRPr="00611CC4" w:rsidRDefault="00844D93" w:rsidP="00751A09">
            <w:pPr>
              <w:spacing w:before="60" w:after="60" w:line="240" w:lineRule="auto"/>
              <w:rPr>
                <w:rFonts w:cs="Arial"/>
              </w:rPr>
            </w:pPr>
            <w:r>
              <w:rPr>
                <w:rFonts w:cs="Arial"/>
              </w:rPr>
              <w:t>Overall IBE limit</w:t>
            </w:r>
          </w:p>
        </w:tc>
        <w:tc>
          <w:tcPr>
            <w:tcW w:w="4161" w:type="pct"/>
          </w:tcPr>
          <w:p w:rsidR="00844D93" w:rsidRDefault="001879D3" w:rsidP="00844D93">
            <w:pPr>
              <w:spacing w:before="60" w:after="60" w:line="240" w:lineRule="auto"/>
            </w:pPr>
            <w:r>
              <w:t xml:space="preserve">7 </w:t>
            </w:r>
            <w:r w:rsidR="00844D93">
              <w:t>dB dB tightening is feasible for the overall IBE limit (</w:t>
            </w:r>
            <w:r w:rsidR="00844D93" w:rsidRPr="008136DD">
              <w:t>P</w:t>
            </w:r>
            <w:r w:rsidR="00844D93" w:rsidRPr="00844D93">
              <w:rPr>
                <w:vertAlign w:val="subscript"/>
              </w:rPr>
              <w:t>RB</w:t>
            </w:r>
            <w:r w:rsidR="00844D93" w:rsidRPr="008136DD">
              <w:t xml:space="preserve"> - </w:t>
            </w:r>
            <w:r>
              <w:t>37</w:t>
            </w:r>
            <w:r w:rsidR="00844D93" w:rsidRPr="008136DD">
              <w:t xml:space="preserve"> dB</w:t>
            </w:r>
            <w:r w:rsidR="00844D93">
              <w:t>)</w:t>
            </w:r>
          </w:p>
        </w:tc>
      </w:tr>
    </w:tbl>
    <w:p w:rsidR="00880392" w:rsidRDefault="00880392" w:rsidP="00943D04">
      <w:pPr>
        <w:jc w:val="both"/>
      </w:pPr>
    </w:p>
    <w:p w:rsidR="002C07DB" w:rsidRDefault="00A52C94" w:rsidP="00943D04">
      <w:pPr>
        <w:jc w:val="both"/>
      </w:pPr>
      <w:r>
        <w:t>The proposed IBE model is shown in Table 1 (based on model in [2]):</w:t>
      </w:r>
    </w:p>
    <w:p w:rsidR="00880392" w:rsidRDefault="00880392" w:rsidP="00943D04">
      <w:pPr>
        <w:jc w:val="both"/>
      </w:pPr>
    </w:p>
    <w:p w:rsidR="00A52C94" w:rsidRPr="00880392" w:rsidRDefault="00A52C94" w:rsidP="00A52C94">
      <w:pPr>
        <w:pStyle w:val="Caption"/>
        <w:jc w:val="center"/>
        <w:rPr>
          <w:sz w:val="20"/>
        </w:rPr>
      </w:pPr>
      <w:r w:rsidRPr="00880392">
        <w:rPr>
          <w:sz w:val="20"/>
        </w:rPr>
        <w:t xml:space="preserve">Table </w:t>
      </w:r>
      <w:r w:rsidRPr="00880392">
        <w:rPr>
          <w:sz w:val="20"/>
        </w:rPr>
        <w:fldChar w:fldCharType="begin"/>
      </w:r>
      <w:r w:rsidRPr="00880392">
        <w:rPr>
          <w:sz w:val="20"/>
        </w:rPr>
        <w:instrText xml:space="preserve"> SEQ Table \* ARABIC </w:instrText>
      </w:r>
      <w:r w:rsidRPr="00880392">
        <w:rPr>
          <w:sz w:val="20"/>
        </w:rPr>
        <w:fldChar w:fldCharType="separate"/>
      </w:r>
      <w:r w:rsidRPr="00880392">
        <w:rPr>
          <w:noProof/>
          <w:sz w:val="20"/>
        </w:rPr>
        <w:t>1</w:t>
      </w:r>
      <w:r w:rsidRPr="00880392">
        <w:rPr>
          <w:sz w:val="20"/>
        </w:rPr>
        <w:fldChar w:fldCharType="end"/>
      </w:r>
      <w:r w:rsidRPr="00880392">
        <w:rPr>
          <w:sz w:val="20"/>
        </w:rPr>
        <w:t>. Proposed IBE model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1173"/>
        <w:gridCol w:w="1286"/>
        <w:gridCol w:w="4192"/>
        <w:gridCol w:w="1695"/>
      </w:tblGrid>
      <w:tr w:rsidR="00A52C94" w:rsidRPr="00611CC4" w:rsidTr="00A204ED">
        <w:trPr>
          <w:jc w:val="center"/>
        </w:trPr>
        <w:tc>
          <w:tcPr>
            <w:tcW w:w="666" w:type="pct"/>
            <w:tcBorders>
              <w:bottom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i/>
                <w:iCs/>
              </w:rPr>
            </w:pPr>
            <w:r w:rsidRPr="00611CC4">
              <w:rPr>
                <w:rFonts w:cs="Arial"/>
              </w:rPr>
              <w:t>Parameter description</w:t>
            </w:r>
          </w:p>
        </w:tc>
        <w:tc>
          <w:tcPr>
            <w:tcW w:w="609" w:type="pct"/>
            <w:tcBorders>
              <w:left w:val="single" w:sz="4" w:space="0" w:color="auto"/>
              <w:bottom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r w:rsidRPr="00611CC4">
              <w:rPr>
                <w:rFonts w:cs="Arial"/>
              </w:rPr>
              <w:t>Unit</w:t>
            </w:r>
          </w:p>
        </w:tc>
        <w:tc>
          <w:tcPr>
            <w:tcW w:w="2845" w:type="pct"/>
            <w:gridSpan w:val="2"/>
            <w:tcBorders>
              <w:left w:val="single" w:sz="4" w:space="0" w:color="auto"/>
              <w:bottom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r w:rsidRPr="00611CC4">
              <w:rPr>
                <w:rFonts w:cs="Arial"/>
              </w:rPr>
              <w:t>Limit (NOTE 1)</w:t>
            </w:r>
          </w:p>
        </w:tc>
        <w:tc>
          <w:tcPr>
            <w:tcW w:w="879" w:type="pct"/>
            <w:tcBorders>
              <w:left w:val="single" w:sz="4" w:space="0" w:color="auto"/>
              <w:bottom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r w:rsidRPr="00611CC4">
              <w:rPr>
                <w:rFonts w:cs="Arial"/>
              </w:rPr>
              <w:t>Applicable Frequencies</w:t>
            </w:r>
          </w:p>
        </w:tc>
      </w:tr>
      <w:tr w:rsidR="00A52C94" w:rsidRPr="00611CC4" w:rsidTr="00A204ED">
        <w:trPr>
          <w:trHeight w:val="710"/>
          <w:jc w:val="center"/>
        </w:trPr>
        <w:tc>
          <w:tcPr>
            <w:tcW w:w="666" w:type="pct"/>
            <w:tcBorders>
              <w:top w:val="single" w:sz="4" w:space="0" w:color="auto"/>
              <w:bottom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r w:rsidRPr="00611CC4">
              <w:rPr>
                <w:rFonts w:cs="Arial"/>
              </w:rPr>
              <w:t>General</w:t>
            </w:r>
          </w:p>
        </w:tc>
        <w:tc>
          <w:tcPr>
            <w:tcW w:w="609" w:type="pct"/>
            <w:tcBorders>
              <w:top w:val="single" w:sz="4" w:space="0" w:color="auto"/>
              <w:left w:val="single" w:sz="4" w:space="0" w:color="auto"/>
              <w:bottom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r w:rsidRPr="00611CC4">
              <w:rPr>
                <w:rFonts w:cs="Arial"/>
              </w:rPr>
              <w:t>dB</w:t>
            </w:r>
          </w:p>
        </w:tc>
        <w:tc>
          <w:tcPr>
            <w:tcW w:w="2845" w:type="pct"/>
            <w:gridSpan w:val="2"/>
            <w:tcBorders>
              <w:top w:val="single" w:sz="4" w:space="0" w:color="auto"/>
              <w:left w:val="single" w:sz="4" w:space="0" w:color="auto"/>
              <w:bottom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lang w:eastAsia="ko-KR"/>
              </w:rPr>
            </w:pPr>
            <w:r w:rsidRPr="009E56BF">
              <w:rPr>
                <w:rFonts w:cs="Arial"/>
                <w:position w:val="-58"/>
                <w:highlight w:val="yellow"/>
              </w:rPr>
              <w:object w:dxaOrig="4420" w:dyaOrig="1240">
                <v:shape id="_x0000_i1028" type="#_x0000_t75" style="width:199.2pt;height:50pt" o:ole="">
                  <v:imagedata r:id="rId12" o:title=""/>
                </v:shape>
                <o:OLEObject Type="Embed" ProgID="Equation.DSMT4" ShapeID="_x0000_i1028" DrawAspect="Content" ObjectID="_1615580016" r:id="rId19"/>
              </w:object>
            </w:r>
          </w:p>
        </w:tc>
        <w:tc>
          <w:tcPr>
            <w:tcW w:w="879" w:type="pct"/>
            <w:tcBorders>
              <w:top w:val="single" w:sz="4" w:space="0" w:color="auto"/>
              <w:left w:val="single" w:sz="4" w:space="0" w:color="auto"/>
              <w:bottom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r w:rsidRPr="00611CC4">
              <w:rPr>
                <w:rFonts w:cs="Arial"/>
              </w:rPr>
              <w:t>Any non-allocated (NOTE 2)</w:t>
            </w:r>
          </w:p>
        </w:tc>
      </w:tr>
      <w:tr w:rsidR="00A52C94" w:rsidRPr="00611CC4" w:rsidTr="00A204ED">
        <w:trPr>
          <w:trHeight w:val="20"/>
          <w:jc w:val="center"/>
        </w:trPr>
        <w:tc>
          <w:tcPr>
            <w:tcW w:w="666" w:type="pct"/>
            <w:vMerge w:val="restart"/>
            <w:tcBorders>
              <w:top w:val="single" w:sz="4" w:space="0" w:color="auto"/>
              <w:right w:val="single" w:sz="4" w:space="0" w:color="auto"/>
            </w:tcBorders>
            <w:shd w:val="clear" w:color="auto" w:fill="auto"/>
            <w:vAlign w:val="center"/>
          </w:tcPr>
          <w:p w:rsidR="00A52C94" w:rsidRPr="00A52C94" w:rsidRDefault="00A52C94" w:rsidP="00751A09">
            <w:pPr>
              <w:pStyle w:val="TAH"/>
              <w:keepNext w:val="0"/>
              <w:keepLines w:val="0"/>
              <w:spacing w:before="0"/>
              <w:rPr>
                <w:rFonts w:cs="Arial"/>
                <w:strike/>
              </w:rPr>
            </w:pPr>
            <w:r w:rsidRPr="00A52C94">
              <w:rPr>
                <w:rFonts w:cs="Arial"/>
                <w:strike/>
              </w:rPr>
              <w:t>IQ Image</w:t>
            </w:r>
          </w:p>
        </w:tc>
        <w:tc>
          <w:tcPr>
            <w:tcW w:w="609" w:type="pct"/>
            <w:vMerge w:val="restart"/>
            <w:tcBorders>
              <w:top w:val="single" w:sz="4" w:space="0" w:color="auto"/>
              <w:left w:val="single" w:sz="4" w:space="0" w:color="auto"/>
              <w:right w:val="single" w:sz="4" w:space="0" w:color="auto"/>
            </w:tcBorders>
            <w:vAlign w:val="center"/>
          </w:tcPr>
          <w:p w:rsidR="00A52C94" w:rsidRPr="00A52C94" w:rsidRDefault="00A52C94" w:rsidP="00751A09">
            <w:pPr>
              <w:pStyle w:val="TAC"/>
              <w:keepNext w:val="0"/>
              <w:keepLines w:val="0"/>
              <w:spacing w:before="0"/>
              <w:rPr>
                <w:rFonts w:cs="Arial"/>
                <w:strike/>
              </w:rPr>
            </w:pPr>
            <w:r w:rsidRPr="00A52C94">
              <w:rPr>
                <w:rFonts w:cs="Arial"/>
                <w:strike/>
              </w:rPr>
              <w:t>dB</w:t>
            </w:r>
          </w:p>
        </w:tc>
        <w:tc>
          <w:tcPr>
            <w:tcW w:w="668" w:type="pct"/>
            <w:tcBorders>
              <w:top w:val="single" w:sz="4" w:space="0" w:color="auto"/>
              <w:left w:val="single" w:sz="4" w:space="0" w:color="auto"/>
              <w:right w:val="single" w:sz="4" w:space="0" w:color="auto"/>
            </w:tcBorders>
            <w:vAlign w:val="center"/>
          </w:tcPr>
          <w:p w:rsidR="00A52C94" w:rsidRPr="00A52C94" w:rsidRDefault="00A52C94" w:rsidP="00A52C94">
            <w:pPr>
              <w:pStyle w:val="TAC"/>
              <w:keepNext w:val="0"/>
              <w:keepLines w:val="0"/>
              <w:spacing w:before="0"/>
              <w:rPr>
                <w:rFonts w:cs="Arial"/>
                <w:strike/>
                <w:highlight w:val="yellow"/>
              </w:rPr>
            </w:pPr>
            <w:r w:rsidRPr="00A52C94">
              <w:rPr>
                <w:rFonts w:cs="Arial"/>
                <w:strike/>
                <w:highlight w:val="yellow"/>
              </w:rPr>
              <w:t>-28</w:t>
            </w:r>
            <w:r>
              <w:rPr>
                <w:rFonts w:cs="Arial"/>
                <w:strike/>
                <w:highlight w:val="yellow"/>
              </w:rPr>
              <w:t>- Y1</w:t>
            </w:r>
          </w:p>
        </w:tc>
        <w:tc>
          <w:tcPr>
            <w:tcW w:w="2177" w:type="pct"/>
            <w:tcBorders>
              <w:top w:val="single" w:sz="4" w:space="0" w:color="auto"/>
              <w:left w:val="single" w:sz="4" w:space="0" w:color="auto"/>
              <w:right w:val="single" w:sz="4" w:space="0" w:color="auto"/>
            </w:tcBorders>
            <w:vAlign w:val="center"/>
          </w:tcPr>
          <w:p w:rsidR="00A52C94" w:rsidRPr="00A52C94" w:rsidRDefault="00A52C94" w:rsidP="00751A09">
            <w:pPr>
              <w:pStyle w:val="TAL"/>
              <w:keepNext w:val="0"/>
              <w:keepLines w:val="0"/>
              <w:spacing w:before="0"/>
              <w:rPr>
                <w:rFonts w:cs="Arial"/>
                <w:strike/>
              </w:rPr>
            </w:pPr>
            <w:r w:rsidRPr="00A52C94">
              <w:rPr>
                <w:rFonts w:cs="Arial"/>
                <w:strike/>
              </w:rPr>
              <w:t>Image frequencies when output power &gt; 10 dBm</w:t>
            </w:r>
          </w:p>
        </w:tc>
        <w:tc>
          <w:tcPr>
            <w:tcW w:w="879" w:type="pct"/>
            <w:vMerge w:val="restart"/>
            <w:tcBorders>
              <w:top w:val="single" w:sz="4" w:space="0" w:color="auto"/>
              <w:left w:val="single" w:sz="4" w:space="0" w:color="auto"/>
              <w:right w:val="single" w:sz="4" w:space="0" w:color="auto"/>
            </w:tcBorders>
            <w:vAlign w:val="center"/>
          </w:tcPr>
          <w:p w:rsidR="00A52C94" w:rsidRPr="00A52C94" w:rsidRDefault="00A52C94" w:rsidP="00751A09">
            <w:pPr>
              <w:pStyle w:val="TAC"/>
              <w:keepNext w:val="0"/>
              <w:keepLines w:val="0"/>
              <w:spacing w:before="0"/>
              <w:rPr>
                <w:rFonts w:cs="Arial"/>
                <w:strike/>
              </w:rPr>
            </w:pPr>
            <w:r w:rsidRPr="00A52C94">
              <w:rPr>
                <w:rFonts w:cs="Arial"/>
                <w:strike/>
              </w:rPr>
              <w:t>Image frequencies (NOTES 2, 3)</w:t>
            </w:r>
          </w:p>
        </w:tc>
      </w:tr>
      <w:tr w:rsidR="00A52C94" w:rsidRPr="00611CC4" w:rsidTr="00A204ED">
        <w:trPr>
          <w:trHeight w:val="20"/>
          <w:jc w:val="center"/>
        </w:trPr>
        <w:tc>
          <w:tcPr>
            <w:tcW w:w="666" w:type="pct"/>
            <w:vMerge/>
            <w:tcBorders>
              <w:right w:val="single" w:sz="4" w:space="0" w:color="auto"/>
            </w:tcBorders>
            <w:shd w:val="clear" w:color="auto" w:fill="auto"/>
            <w:vAlign w:val="center"/>
          </w:tcPr>
          <w:p w:rsidR="00A52C94" w:rsidRPr="00A52C94" w:rsidRDefault="00A52C94" w:rsidP="00751A09">
            <w:pPr>
              <w:pStyle w:val="TAH"/>
              <w:keepNext w:val="0"/>
              <w:keepLines w:val="0"/>
              <w:spacing w:before="0"/>
              <w:rPr>
                <w:rFonts w:cs="Arial"/>
                <w:strike/>
              </w:rPr>
            </w:pPr>
          </w:p>
        </w:tc>
        <w:tc>
          <w:tcPr>
            <w:tcW w:w="609" w:type="pct"/>
            <w:vMerge/>
            <w:tcBorders>
              <w:left w:val="single" w:sz="4" w:space="0" w:color="auto"/>
              <w:right w:val="single" w:sz="4" w:space="0" w:color="auto"/>
            </w:tcBorders>
            <w:vAlign w:val="center"/>
          </w:tcPr>
          <w:p w:rsidR="00A52C94" w:rsidRPr="00A52C94" w:rsidRDefault="00A52C94" w:rsidP="00751A09">
            <w:pPr>
              <w:pStyle w:val="TAC"/>
              <w:keepNext w:val="0"/>
              <w:keepLines w:val="0"/>
              <w:spacing w:before="0"/>
              <w:rPr>
                <w:rFonts w:cs="Arial"/>
                <w:strike/>
              </w:rPr>
            </w:pPr>
          </w:p>
        </w:tc>
        <w:tc>
          <w:tcPr>
            <w:tcW w:w="668" w:type="pct"/>
            <w:tcBorders>
              <w:top w:val="single" w:sz="4" w:space="0" w:color="auto"/>
              <w:left w:val="single" w:sz="4" w:space="0" w:color="auto"/>
              <w:right w:val="single" w:sz="4" w:space="0" w:color="auto"/>
            </w:tcBorders>
            <w:vAlign w:val="center"/>
          </w:tcPr>
          <w:p w:rsidR="00A52C94" w:rsidRPr="00A52C94" w:rsidRDefault="00A52C94" w:rsidP="00751A09">
            <w:pPr>
              <w:pStyle w:val="TAC"/>
              <w:keepNext w:val="0"/>
              <w:keepLines w:val="0"/>
              <w:spacing w:before="0"/>
              <w:rPr>
                <w:rFonts w:cs="Arial"/>
                <w:strike/>
                <w:highlight w:val="yellow"/>
              </w:rPr>
            </w:pPr>
            <w:r w:rsidRPr="00A52C94">
              <w:rPr>
                <w:rFonts w:cs="Arial"/>
                <w:strike/>
                <w:highlight w:val="yellow"/>
              </w:rPr>
              <w:t>-28 – Y2</w:t>
            </w:r>
          </w:p>
        </w:tc>
        <w:tc>
          <w:tcPr>
            <w:tcW w:w="2177" w:type="pct"/>
            <w:tcBorders>
              <w:top w:val="single" w:sz="4" w:space="0" w:color="auto"/>
              <w:left w:val="single" w:sz="4" w:space="0" w:color="auto"/>
              <w:right w:val="single" w:sz="4" w:space="0" w:color="auto"/>
            </w:tcBorders>
            <w:vAlign w:val="center"/>
          </w:tcPr>
          <w:p w:rsidR="00A52C94" w:rsidRPr="00A52C94" w:rsidRDefault="00A52C94" w:rsidP="00751A09">
            <w:pPr>
              <w:pStyle w:val="TAL"/>
              <w:keepNext w:val="0"/>
              <w:keepLines w:val="0"/>
              <w:spacing w:before="0"/>
              <w:rPr>
                <w:rFonts w:cs="Arial"/>
                <w:strike/>
              </w:rPr>
            </w:pPr>
            <w:r w:rsidRPr="00A52C94">
              <w:rPr>
                <w:rFonts w:cs="Arial"/>
                <w:strike/>
              </w:rPr>
              <w:t>Image frequencies when output power ≤ 10 dBm</w:t>
            </w:r>
          </w:p>
        </w:tc>
        <w:tc>
          <w:tcPr>
            <w:tcW w:w="879" w:type="pct"/>
            <w:vMerge/>
            <w:tcBorders>
              <w:left w:val="single" w:sz="4" w:space="0" w:color="auto"/>
              <w:right w:val="single" w:sz="4" w:space="0" w:color="auto"/>
            </w:tcBorders>
            <w:vAlign w:val="center"/>
          </w:tcPr>
          <w:p w:rsidR="00A52C94" w:rsidRPr="00A52C94" w:rsidRDefault="00A52C94" w:rsidP="00751A09">
            <w:pPr>
              <w:pStyle w:val="TAC"/>
              <w:keepNext w:val="0"/>
              <w:keepLines w:val="0"/>
              <w:spacing w:before="0"/>
              <w:rPr>
                <w:rFonts w:cs="Arial"/>
                <w:strike/>
              </w:rPr>
            </w:pPr>
          </w:p>
        </w:tc>
      </w:tr>
      <w:tr w:rsidR="00A52C94" w:rsidRPr="00611CC4" w:rsidTr="00A204ED">
        <w:trPr>
          <w:trHeight w:val="208"/>
          <w:jc w:val="center"/>
        </w:trPr>
        <w:tc>
          <w:tcPr>
            <w:tcW w:w="666" w:type="pct"/>
            <w:vMerge w:val="restart"/>
            <w:tcBorders>
              <w:top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r w:rsidRPr="00611CC4">
              <w:rPr>
                <w:rFonts w:cs="Arial"/>
              </w:rPr>
              <w:t>Carrier leakage</w:t>
            </w:r>
          </w:p>
        </w:tc>
        <w:tc>
          <w:tcPr>
            <w:tcW w:w="609" w:type="pct"/>
            <w:vMerge w:val="restart"/>
            <w:tcBorders>
              <w:top w:val="single" w:sz="4" w:space="0" w:color="auto"/>
              <w:left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r w:rsidRPr="00611CC4">
              <w:rPr>
                <w:rFonts w:cs="Arial"/>
              </w:rPr>
              <w:t>dBc</w:t>
            </w:r>
          </w:p>
        </w:tc>
        <w:tc>
          <w:tcPr>
            <w:tcW w:w="668" w:type="pct"/>
            <w:tcBorders>
              <w:top w:val="single" w:sz="4" w:space="0" w:color="auto"/>
              <w:left w:val="single" w:sz="4" w:space="0" w:color="auto"/>
              <w:right w:val="single" w:sz="4" w:space="0" w:color="auto"/>
            </w:tcBorders>
            <w:vAlign w:val="center"/>
          </w:tcPr>
          <w:p w:rsidR="00A52C94" w:rsidRPr="00943D04" w:rsidRDefault="00A52C94" w:rsidP="00751A09">
            <w:pPr>
              <w:pStyle w:val="TAC"/>
              <w:keepNext w:val="0"/>
              <w:keepLines w:val="0"/>
              <w:spacing w:before="0"/>
              <w:rPr>
                <w:rFonts w:cs="Arial"/>
                <w:highlight w:val="yellow"/>
              </w:rPr>
            </w:pPr>
            <w:r w:rsidRPr="00943D04">
              <w:rPr>
                <w:rFonts w:cs="Arial"/>
                <w:highlight w:val="yellow"/>
              </w:rPr>
              <w:t xml:space="preserve">-28 – Z1 </w:t>
            </w:r>
          </w:p>
        </w:tc>
        <w:tc>
          <w:tcPr>
            <w:tcW w:w="2177" w:type="pct"/>
            <w:tcBorders>
              <w:top w:val="single" w:sz="4" w:space="0" w:color="auto"/>
              <w:left w:val="single" w:sz="4" w:space="0" w:color="auto"/>
              <w:right w:val="single" w:sz="4" w:space="0" w:color="auto"/>
            </w:tcBorders>
            <w:shd w:val="clear" w:color="auto" w:fill="auto"/>
            <w:vAlign w:val="center"/>
          </w:tcPr>
          <w:p w:rsidR="00A52C94" w:rsidRPr="00611CC4" w:rsidRDefault="00A52C94" w:rsidP="00751A09">
            <w:pPr>
              <w:pStyle w:val="TAL"/>
              <w:keepNext w:val="0"/>
              <w:keepLines w:val="0"/>
              <w:spacing w:before="0"/>
              <w:rPr>
                <w:rFonts w:cs="Arial"/>
              </w:rPr>
            </w:pPr>
            <w:r w:rsidRPr="00611CC4">
              <w:rPr>
                <w:rFonts w:cs="Arial"/>
              </w:rPr>
              <w:t xml:space="preserve">Output power &gt; 10 dBm </w:t>
            </w:r>
          </w:p>
        </w:tc>
        <w:tc>
          <w:tcPr>
            <w:tcW w:w="879" w:type="pct"/>
            <w:vMerge w:val="restart"/>
            <w:tcBorders>
              <w:top w:val="single" w:sz="4" w:space="0" w:color="auto"/>
              <w:left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r w:rsidRPr="00611CC4">
              <w:rPr>
                <w:rFonts w:cs="Arial"/>
              </w:rPr>
              <w:t>Carrier leakage frequency (NOTES 4, 5)</w:t>
            </w:r>
          </w:p>
        </w:tc>
      </w:tr>
      <w:tr w:rsidR="00A52C94" w:rsidRPr="00611CC4" w:rsidTr="00A204ED">
        <w:trPr>
          <w:trHeight w:val="208"/>
          <w:jc w:val="center"/>
        </w:trPr>
        <w:tc>
          <w:tcPr>
            <w:tcW w:w="666" w:type="pct"/>
            <w:vMerge/>
            <w:tcBorders>
              <w:top w:val="single" w:sz="4" w:space="0" w:color="auto"/>
              <w:right w:val="single" w:sz="4" w:space="0" w:color="auto"/>
            </w:tcBorders>
            <w:shd w:val="clear" w:color="auto" w:fill="auto"/>
            <w:vAlign w:val="center"/>
          </w:tcPr>
          <w:p w:rsidR="00A52C94" w:rsidRPr="00611CC4" w:rsidRDefault="00A52C94" w:rsidP="00751A09">
            <w:pPr>
              <w:pStyle w:val="TAH"/>
              <w:keepNext w:val="0"/>
              <w:keepLines w:val="0"/>
              <w:spacing w:before="0"/>
              <w:rPr>
                <w:rFonts w:cs="Arial"/>
              </w:rPr>
            </w:pPr>
          </w:p>
        </w:tc>
        <w:tc>
          <w:tcPr>
            <w:tcW w:w="609" w:type="pct"/>
            <w:vMerge/>
            <w:tcBorders>
              <w:top w:val="single" w:sz="4" w:space="0" w:color="auto"/>
              <w:left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52C94" w:rsidRPr="00943D04" w:rsidRDefault="00A52C94" w:rsidP="00751A09">
            <w:pPr>
              <w:pStyle w:val="TAC"/>
              <w:keepNext w:val="0"/>
              <w:keepLines w:val="0"/>
              <w:spacing w:before="0"/>
              <w:rPr>
                <w:rFonts w:cs="Arial"/>
                <w:highlight w:val="yellow"/>
              </w:rPr>
            </w:pPr>
            <w:r w:rsidRPr="00943D04">
              <w:rPr>
                <w:rFonts w:cs="Arial"/>
                <w:highlight w:val="yellow"/>
              </w:rPr>
              <w:t>-25 – Z2</w:t>
            </w:r>
          </w:p>
        </w:tc>
        <w:tc>
          <w:tcPr>
            <w:tcW w:w="2177" w:type="pct"/>
            <w:tcBorders>
              <w:top w:val="single" w:sz="4" w:space="0" w:color="auto"/>
              <w:left w:val="single" w:sz="4" w:space="0" w:color="auto"/>
              <w:right w:val="single" w:sz="4" w:space="0" w:color="auto"/>
            </w:tcBorders>
            <w:shd w:val="clear" w:color="auto" w:fill="auto"/>
            <w:vAlign w:val="center"/>
          </w:tcPr>
          <w:p w:rsidR="00A52C94" w:rsidRPr="00611CC4" w:rsidRDefault="00A52C94" w:rsidP="00751A09">
            <w:pPr>
              <w:pStyle w:val="TAL"/>
              <w:keepNext w:val="0"/>
              <w:keepLines w:val="0"/>
              <w:spacing w:before="0"/>
              <w:rPr>
                <w:rFonts w:cs="Arial"/>
              </w:rPr>
            </w:pPr>
            <w:r w:rsidRPr="00611CC4">
              <w:rPr>
                <w:rFonts w:cs="Arial"/>
              </w:rPr>
              <w:t>0 dBm ≤ Output power ≤10 dBm</w:t>
            </w:r>
          </w:p>
        </w:tc>
        <w:tc>
          <w:tcPr>
            <w:tcW w:w="879" w:type="pct"/>
            <w:vMerge/>
            <w:tcBorders>
              <w:top w:val="single" w:sz="4" w:space="0" w:color="auto"/>
              <w:left w:val="single" w:sz="4" w:space="0" w:color="auto"/>
              <w:right w:val="single" w:sz="4" w:space="0" w:color="auto"/>
            </w:tcBorders>
            <w:vAlign w:val="center"/>
          </w:tcPr>
          <w:p w:rsidR="00A52C94" w:rsidRPr="00611CC4" w:rsidRDefault="00A52C94" w:rsidP="00751A09">
            <w:pPr>
              <w:spacing w:before="0" w:after="0"/>
            </w:pPr>
          </w:p>
        </w:tc>
      </w:tr>
      <w:tr w:rsidR="00A52C94" w:rsidRPr="00611CC4" w:rsidTr="00A204ED">
        <w:trPr>
          <w:trHeight w:val="206"/>
          <w:jc w:val="center"/>
        </w:trPr>
        <w:tc>
          <w:tcPr>
            <w:tcW w:w="666" w:type="pct"/>
            <w:vMerge/>
            <w:tcBorders>
              <w:right w:val="single" w:sz="4" w:space="0" w:color="auto"/>
            </w:tcBorders>
            <w:shd w:val="clear" w:color="auto" w:fill="auto"/>
            <w:vAlign w:val="center"/>
          </w:tcPr>
          <w:p w:rsidR="00A52C94" w:rsidRPr="00611CC4" w:rsidRDefault="00A52C94" w:rsidP="00751A09">
            <w:pPr>
              <w:spacing w:before="0" w:after="0"/>
              <w:rPr>
                <w:b/>
              </w:rPr>
            </w:pPr>
          </w:p>
        </w:tc>
        <w:tc>
          <w:tcPr>
            <w:tcW w:w="609" w:type="pct"/>
            <w:vMerge/>
            <w:tcBorders>
              <w:left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52C94" w:rsidRPr="00943D04" w:rsidRDefault="00A52C94" w:rsidP="00751A09">
            <w:pPr>
              <w:pStyle w:val="TAC"/>
              <w:keepNext w:val="0"/>
              <w:keepLines w:val="0"/>
              <w:spacing w:before="0"/>
              <w:rPr>
                <w:rFonts w:cs="Arial"/>
                <w:highlight w:val="yellow"/>
              </w:rPr>
            </w:pPr>
            <w:r w:rsidRPr="00943D04">
              <w:rPr>
                <w:rFonts w:cs="Arial"/>
                <w:highlight w:val="yellow"/>
              </w:rPr>
              <w:t>-20 – Z3</w:t>
            </w:r>
          </w:p>
        </w:tc>
        <w:tc>
          <w:tcPr>
            <w:tcW w:w="2177" w:type="pct"/>
            <w:tcBorders>
              <w:left w:val="single" w:sz="4" w:space="0" w:color="auto"/>
              <w:right w:val="single" w:sz="4" w:space="0" w:color="auto"/>
            </w:tcBorders>
            <w:shd w:val="clear" w:color="auto" w:fill="auto"/>
            <w:vAlign w:val="center"/>
          </w:tcPr>
          <w:p w:rsidR="00A52C94" w:rsidRPr="00611CC4" w:rsidRDefault="00A52C94" w:rsidP="00751A09">
            <w:pPr>
              <w:pStyle w:val="TAL"/>
              <w:keepNext w:val="0"/>
              <w:keepLines w:val="0"/>
              <w:spacing w:before="0"/>
              <w:rPr>
                <w:rFonts w:cs="Arial"/>
              </w:rPr>
            </w:pPr>
            <w:r w:rsidRPr="00611CC4">
              <w:rPr>
                <w:rFonts w:cs="Arial"/>
              </w:rPr>
              <w:t>-30 dBm ≤ Output power ≤ 0 dBm</w:t>
            </w:r>
          </w:p>
        </w:tc>
        <w:tc>
          <w:tcPr>
            <w:tcW w:w="879" w:type="pct"/>
            <w:vMerge/>
            <w:tcBorders>
              <w:left w:val="single" w:sz="4" w:space="0" w:color="auto"/>
              <w:right w:val="single" w:sz="4" w:space="0" w:color="auto"/>
            </w:tcBorders>
            <w:vAlign w:val="center"/>
          </w:tcPr>
          <w:p w:rsidR="00A52C94" w:rsidRPr="00611CC4" w:rsidRDefault="00A52C94" w:rsidP="00751A09">
            <w:pPr>
              <w:spacing w:before="0" w:after="0"/>
            </w:pPr>
          </w:p>
        </w:tc>
      </w:tr>
      <w:tr w:rsidR="00A52C94" w:rsidRPr="00611CC4" w:rsidTr="00A204ED">
        <w:trPr>
          <w:trHeight w:val="206"/>
          <w:jc w:val="center"/>
        </w:trPr>
        <w:tc>
          <w:tcPr>
            <w:tcW w:w="666" w:type="pct"/>
            <w:vMerge/>
            <w:tcBorders>
              <w:right w:val="single" w:sz="4" w:space="0" w:color="auto"/>
            </w:tcBorders>
            <w:shd w:val="clear" w:color="auto" w:fill="auto"/>
            <w:vAlign w:val="center"/>
          </w:tcPr>
          <w:p w:rsidR="00A52C94" w:rsidRPr="00611CC4" w:rsidRDefault="00A52C94" w:rsidP="00751A09">
            <w:pPr>
              <w:spacing w:before="0" w:after="0"/>
              <w:rPr>
                <w:b/>
              </w:rPr>
            </w:pPr>
          </w:p>
        </w:tc>
        <w:tc>
          <w:tcPr>
            <w:tcW w:w="609" w:type="pct"/>
            <w:vMerge/>
            <w:tcBorders>
              <w:left w:val="single" w:sz="4" w:space="0" w:color="auto"/>
              <w:right w:val="single" w:sz="4" w:space="0" w:color="auto"/>
            </w:tcBorders>
            <w:vAlign w:val="center"/>
          </w:tcPr>
          <w:p w:rsidR="00A52C94" w:rsidRPr="00611CC4" w:rsidRDefault="00A52C94"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52C94" w:rsidRPr="00943D04" w:rsidRDefault="00A52C94" w:rsidP="00751A09">
            <w:pPr>
              <w:pStyle w:val="TAC"/>
              <w:keepNext w:val="0"/>
              <w:keepLines w:val="0"/>
              <w:spacing w:before="0"/>
              <w:rPr>
                <w:rFonts w:cs="Arial"/>
                <w:highlight w:val="yellow"/>
              </w:rPr>
            </w:pPr>
            <w:r w:rsidRPr="00943D04">
              <w:rPr>
                <w:rFonts w:cs="Arial"/>
                <w:highlight w:val="yellow"/>
              </w:rPr>
              <w:t>-10 – Z4</w:t>
            </w:r>
          </w:p>
        </w:tc>
        <w:tc>
          <w:tcPr>
            <w:tcW w:w="2177" w:type="pct"/>
            <w:tcBorders>
              <w:left w:val="single" w:sz="4" w:space="0" w:color="auto"/>
              <w:right w:val="single" w:sz="4" w:space="0" w:color="auto"/>
            </w:tcBorders>
            <w:shd w:val="clear" w:color="auto" w:fill="auto"/>
            <w:vAlign w:val="center"/>
          </w:tcPr>
          <w:p w:rsidR="00A52C94" w:rsidRPr="00611CC4" w:rsidRDefault="00A52C94" w:rsidP="00751A09">
            <w:pPr>
              <w:pStyle w:val="TAL"/>
              <w:keepNext w:val="0"/>
              <w:keepLines w:val="0"/>
              <w:spacing w:before="0"/>
              <w:rPr>
                <w:rFonts w:cs="Arial"/>
              </w:rPr>
            </w:pPr>
            <w:r w:rsidRPr="00611CC4">
              <w:rPr>
                <w:rFonts w:cs="Arial"/>
              </w:rPr>
              <w:t xml:space="preserve">-40 dBm </w:t>
            </w:r>
            <w:r w:rsidRPr="00611CC4">
              <w:rPr>
                <w:rFonts w:cs="Arial"/>
              </w:rPr>
              <w:sym w:font="Symbol" w:char="F0A3"/>
            </w:r>
            <w:r w:rsidRPr="00611CC4">
              <w:rPr>
                <w:rFonts w:cs="Arial"/>
              </w:rPr>
              <w:t xml:space="preserve"> Output power &lt; -30 dBm</w:t>
            </w:r>
          </w:p>
        </w:tc>
        <w:tc>
          <w:tcPr>
            <w:tcW w:w="879" w:type="pct"/>
            <w:vMerge/>
            <w:tcBorders>
              <w:left w:val="single" w:sz="4" w:space="0" w:color="auto"/>
              <w:right w:val="single" w:sz="4" w:space="0" w:color="auto"/>
            </w:tcBorders>
            <w:vAlign w:val="center"/>
          </w:tcPr>
          <w:p w:rsidR="00A52C94" w:rsidRPr="00611CC4" w:rsidRDefault="00A52C94" w:rsidP="00751A09">
            <w:pPr>
              <w:spacing w:before="0" w:after="0"/>
            </w:pPr>
          </w:p>
        </w:tc>
      </w:tr>
      <w:tr w:rsidR="00A52C94" w:rsidRPr="00611CC4" w:rsidTr="00A204ED">
        <w:trPr>
          <w:trHeight w:val="424"/>
          <w:jc w:val="center"/>
        </w:trPr>
        <w:tc>
          <w:tcPr>
            <w:tcW w:w="5000" w:type="pct"/>
            <w:gridSpan w:val="5"/>
            <w:tcBorders>
              <w:right w:val="single" w:sz="4" w:space="0" w:color="auto"/>
            </w:tcBorders>
            <w:shd w:val="clear" w:color="auto" w:fill="auto"/>
            <w:vAlign w:val="center"/>
          </w:tcPr>
          <w:p w:rsidR="00A52C94" w:rsidRPr="00943D04" w:rsidRDefault="00A52C94" w:rsidP="00751A09">
            <w:pPr>
              <w:pStyle w:val="TAN"/>
              <w:keepNext w:val="0"/>
              <w:keepLines w:val="0"/>
              <w:spacing w:before="0"/>
              <w:rPr>
                <w:rFonts w:cs="Arial"/>
                <w:sz w:val="16"/>
              </w:rPr>
            </w:pPr>
            <w:r w:rsidRPr="00943D04">
              <w:rPr>
                <w:rFonts w:cs="Arial"/>
                <w:sz w:val="16"/>
              </w:rPr>
              <w:t>NOTE 1:</w:t>
            </w:r>
            <w:r w:rsidRPr="00943D04">
              <w:rPr>
                <w:rFonts w:cs="Arial"/>
                <w:sz w:val="16"/>
              </w:rPr>
              <w:tab/>
              <w:t xml:space="preserve">An in-band emissions combined limit is evaluated in each non-allocated RB. For each such RB, the minimum requirement is calculated as the higher of </w:t>
            </w:r>
            <w:r w:rsidRPr="002C07DB">
              <w:rPr>
                <w:rFonts w:cs="Arial"/>
                <w:i/>
                <w:sz w:val="16"/>
                <w:highlight w:val="yellow"/>
              </w:rPr>
              <w:t>P</w:t>
            </w:r>
            <w:r w:rsidRPr="002C07DB">
              <w:rPr>
                <w:rFonts w:cs="Arial"/>
                <w:i/>
                <w:sz w:val="16"/>
                <w:highlight w:val="yellow"/>
                <w:vertAlign w:val="subscript"/>
              </w:rPr>
              <w:t xml:space="preserve">RB </w:t>
            </w:r>
            <w:r w:rsidRPr="002C07DB">
              <w:rPr>
                <w:rFonts w:cs="Arial"/>
                <w:sz w:val="16"/>
                <w:highlight w:val="yellow"/>
              </w:rPr>
              <w:t xml:space="preserve">- 30 dB – </w:t>
            </w:r>
            <w:r w:rsidRPr="00844D93">
              <w:rPr>
                <w:rFonts w:cs="Arial"/>
                <w:sz w:val="16"/>
                <w:highlight w:val="yellow"/>
              </w:rPr>
              <w:t>W</w:t>
            </w:r>
            <w:r w:rsidRPr="00943D04">
              <w:rPr>
                <w:rFonts w:cs="Arial"/>
                <w:sz w:val="16"/>
              </w:rPr>
              <w:t xml:space="preserve"> and the power sum of all limit values (General, IQ Image or Carrier leakage) that apply. </w:t>
            </w:r>
            <w:r w:rsidRPr="00943D04">
              <w:rPr>
                <w:rFonts w:cs="Arial"/>
                <w:i/>
                <w:sz w:val="16"/>
              </w:rPr>
              <w:t>P</w:t>
            </w:r>
            <w:r w:rsidRPr="00943D04">
              <w:rPr>
                <w:rFonts w:cs="Arial"/>
                <w:i/>
                <w:sz w:val="16"/>
                <w:vertAlign w:val="subscript"/>
              </w:rPr>
              <w:t>RB</w:t>
            </w:r>
            <w:r w:rsidRPr="00943D04">
              <w:rPr>
                <w:rFonts w:cs="Arial"/>
                <w:i/>
                <w:sz w:val="16"/>
              </w:rPr>
              <w:t xml:space="preserve"> </w:t>
            </w:r>
            <w:r w:rsidRPr="00943D04">
              <w:rPr>
                <w:rFonts w:cs="Arial"/>
                <w:sz w:val="16"/>
              </w:rPr>
              <w:t>is defined in NOTE 10.</w:t>
            </w:r>
          </w:p>
          <w:p w:rsidR="00A52C94" w:rsidRPr="00A204ED" w:rsidRDefault="00A204ED" w:rsidP="00751A09">
            <w:pPr>
              <w:pStyle w:val="TAN"/>
              <w:keepNext w:val="0"/>
              <w:keepLines w:val="0"/>
              <w:spacing w:before="0"/>
              <w:rPr>
                <w:rFonts w:cs="Arial"/>
                <w:sz w:val="16"/>
              </w:rPr>
            </w:pPr>
            <w:r w:rsidRPr="00A204ED">
              <w:rPr>
                <w:rFonts w:cs="Arial"/>
                <w:sz w:val="16"/>
              </w:rPr>
              <w:t>….</w:t>
            </w:r>
          </w:p>
          <w:p w:rsidR="00A52C94" w:rsidRPr="00611CC4" w:rsidRDefault="00A52C94" w:rsidP="00751A09">
            <w:pPr>
              <w:pStyle w:val="TAN"/>
              <w:keepNext w:val="0"/>
              <w:keepLines w:val="0"/>
              <w:spacing w:before="0"/>
              <w:rPr>
                <w:rFonts w:cs="Arial"/>
              </w:rPr>
            </w:pPr>
            <w:r w:rsidRPr="00A52C94">
              <w:rPr>
                <w:rFonts w:cs="Arial"/>
                <w:sz w:val="16"/>
                <w:highlight w:val="yellow"/>
              </w:rPr>
              <w:t xml:space="preserve">NOTE 11:  </w:t>
            </w:r>
            <w:r>
              <w:rPr>
                <w:rFonts w:cs="Arial"/>
                <w:sz w:val="16"/>
                <w:highlight w:val="yellow"/>
              </w:rPr>
              <w:t xml:space="preserve">  </w:t>
            </w:r>
            <w:r w:rsidR="001879D3">
              <w:rPr>
                <w:rFonts w:cs="Arial"/>
                <w:sz w:val="16"/>
                <w:highlight w:val="yellow"/>
              </w:rPr>
              <w:t>W = 7 dB; X1 = 7 dB; X2 = 0/4/7</w:t>
            </w:r>
            <w:r w:rsidRPr="00A52C94">
              <w:rPr>
                <w:rFonts w:cs="Arial"/>
                <w:sz w:val="16"/>
                <w:highlight w:val="yellow"/>
              </w:rPr>
              <w:t xml:space="preserve"> dB for 64QAM / 16QAM / QPSK; Z1 = Z2 = 10dB;  Z3 = Z4 = 0dB</w:t>
            </w:r>
          </w:p>
        </w:tc>
      </w:tr>
    </w:tbl>
    <w:p w:rsidR="00521642" w:rsidRDefault="002F319B" w:rsidP="00943D04">
      <w:pPr>
        <w:jc w:val="both"/>
      </w:pPr>
      <w:r>
        <w:t xml:space="preserve">Examples of the </w:t>
      </w:r>
      <w:r w:rsidR="00BD0F10">
        <w:t xml:space="preserve">original and proposed tightened IBE models </w:t>
      </w:r>
      <w:r>
        <w:t xml:space="preserve">for the case for 20MHz CBW + 15 kHz SCS </w:t>
      </w:r>
      <w:r w:rsidR="00BD0F10">
        <w:t xml:space="preserve">are illustrated in </w:t>
      </w:r>
      <w:r w:rsidR="002D3C60">
        <w:t xml:space="preserve">Figure </w:t>
      </w:r>
      <w:r w:rsidR="00C26181">
        <w:t>1</w:t>
      </w:r>
      <w:r w:rsidR="00844D93">
        <w:t>.</w:t>
      </w:r>
    </w:p>
    <w:p w:rsidR="008136DD" w:rsidRDefault="005B6E83" w:rsidP="008136DD">
      <w:pPr>
        <w:keepNext/>
        <w:jc w:val="center"/>
      </w:pPr>
      <w:r w:rsidRPr="005B6E83">
        <w:rPr>
          <w:noProof/>
          <w:lang w:val="en-US" w:eastAsia="ko-KR"/>
        </w:rPr>
        <w:lastRenderedPageBreak/>
        <w:drawing>
          <wp:inline distT="0" distB="0" distL="0" distR="0">
            <wp:extent cx="3173185" cy="237903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83250" cy="2386584"/>
                    </a:xfrm>
                    <a:prstGeom prst="rect">
                      <a:avLst/>
                    </a:prstGeom>
                    <a:noFill/>
                    <a:ln>
                      <a:noFill/>
                    </a:ln>
                  </pic:spPr>
                </pic:pic>
              </a:graphicData>
            </a:graphic>
          </wp:inline>
        </w:drawing>
      </w:r>
    </w:p>
    <w:p w:rsidR="008136DD" w:rsidRPr="007C1839" w:rsidRDefault="008136DD" w:rsidP="002F319B">
      <w:pPr>
        <w:pStyle w:val="Caption"/>
        <w:keepNext w:val="0"/>
        <w:jc w:val="center"/>
        <w:rPr>
          <w:sz w:val="20"/>
        </w:rPr>
      </w:pPr>
      <w:r w:rsidRPr="007C1839">
        <w:rPr>
          <w:sz w:val="20"/>
        </w:rPr>
        <w:t xml:space="preserve">Figure </w:t>
      </w:r>
      <w:r w:rsidRPr="007C1839">
        <w:rPr>
          <w:sz w:val="20"/>
        </w:rPr>
        <w:fldChar w:fldCharType="begin"/>
      </w:r>
      <w:r w:rsidRPr="007C1839">
        <w:rPr>
          <w:sz w:val="20"/>
        </w:rPr>
        <w:instrText xml:space="preserve"> SEQ Figure \* ARABIC </w:instrText>
      </w:r>
      <w:r w:rsidRPr="007C1839">
        <w:rPr>
          <w:sz w:val="20"/>
        </w:rPr>
        <w:fldChar w:fldCharType="separate"/>
      </w:r>
      <w:r w:rsidRPr="007C1839">
        <w:rPr>
          <w:noProof/>
          <w:sz w:val="20"/>
        </w:rPr>
        <w:t>2</w:t>
      </w:r>
      <w:r w:rsidRPr="007C1839">
        <w:rPr>
          <w:sz w:val="20"/>
        </w:rPr>
        <w:fldChar w:fldCharType="end"/>
      </w:r>
      <w:r w:rsidRPr="007C1839">
        <w:rPr>
          <w:sz w:val="20"/>
        </w:rPr>
        <w:t xml:space="preserve">. Legacy/Tightened IBE models </w:t>
      </w:r>
    </w:p>
    <w:p w:rsidR="007C1839" w:rsidRDefault="007C1839" w:rsidP="001879D3">
      <w:pPr>
        <w:jc w:val="both"/>
        <w:rPr>
          <w:b/>
          <w:i/>
        </w:rPr>
      </w:pPr>
    </w:p>
    <w:p w:rsidR="00A52C94" w:rsidRPr="001879D3" w:rsidRDefault="00880392" w:rsidP="001879D3">
      <w:pPr>
        <w:jc w:val="both"/>
        <w:rPr>
          <w:b/>
          <w:i/>
        </w:rPr>
      </w:pPr>
      <w:r>
        <w:rPr>
          <w:b/>
          <w:i/>
        </w:rPr>
        <w:t>Proposal #2</w:t>
      </w:r>
      <w:r w:rsidR="00A52C94" w:rsidRPr="001879D3">
        <w:rPr>
          <w:b/>
          <w:i/>
        </w:rPr>
        <w:t>:</w:t>
      </w:r>
      <w:r w:rsidR="00A52C94" w:rsidRPr="001879D3">
        <w:rPr>
          <w:b/>
          <w:i/>
        </w:rPr>
        <w:tab/>
      </w:r>
      <w:r w:rsidR="00A52C94" w:rsidRPr="001879D3">
        <w:rPr>
          <w:i/>
        </w:rPr>
        <w:t xml:space="preserve">Use the FR1 IBE model </w:t>
      </w:r>
      <w:r w:rsidR="00A204ED" w:rsidRPr="001879D3">
        <w:rPr>
          <w:i/>
        </w:rPr>
        <w:t>defined in Table 1 for</w:t>
      </w:r>
      <w:r w:rsidR="00A52C94" w:rsidRPr="001879D3">
        <w:rPr>
          <w:i/>
        </w:rPr>
        <w:t xml:space="preserve"> NR V2X studies</w:t>
      </w:r>
      <w:r w:rsidR="001879D3">
        <w:rPr>
          <w:i/>
        </w:rPr>
        <w:t>.</w:t>
      </w:r>
    </w:p>
    <w:p w:rsidR="00CD2B04" w:rsidRPr="009C2D12" w:rsidRDefault="00CD2B04" w:rsidP="009C2D12">
      <w:pPr>
        <w:pStyle w:val="Heading1"/>
      </w:pPr>
      <w:r w:rsidRPr="009C2D12">
        <w:t>Conclusions</w:t>
      </w:r>
    </w:p>
    <w:p w:rsidR="00E41DB4" w:rsidRDefault="00E41DB4" w:rsidP="00E41DB4">
      <w:r w:rsidRPr="00A204ED">
        <w:t xml:space="preserve">In this contribution we provided the views on the feasible NR V2X </w:t>
      </w:r>
      <w:r w:rsidR="00E7251D">
        <w:t xml:space="preserve">IBE model </w:t>
      </w:r>
      <w:r w:rsidRPr="00A204ED">
        <w:t xml:space="preserve">and recommend to provide the respective information to RAN1. In summary we make the following </w:t>
      </w:r>
      <w:r w:rsidR="001879D3">
        <w:t>observations and proposal</w:t>
      </w:r>
      <w:r w:rsidRPr="00A204ED">
        <w:t>:</w:t>
      </w:r>
    </w:p>
    <w:p w:rsidR="001879D3" w:rsidRDefault="001879D3" w:rsidP="00E41DB4"/>
    <w:p w:rsidR="001879D3" w:rsidRDefault="001879D3" w:rsidP="001879D3">
      <w:pPr>
        <w:jc w:val="both"/>
        <w:rPr>
          <w:i/>
        </w:rPr>
      </w:pPr>
      <w:r>
        <w:rPr>
          <w:b/>
          <w:i/>
        </w:rPr>
        <w:t>Observation #1</w:t>
      </w:r>
      <w:r>
        <w:rPr>
          <w:i/>
        </w:rPr>
        <w:t>:</w:t>
      </w:r>
      <w:r w:rsidR="00B958BA">
        <w:rPr>
          <w:i/>
        </w:rPr>
        <w:t xml:space="preserve"> </w:t>
      </w:r>
      <w:r>
        <w:rPr>
          <w:i/>
        </w:rPr>
        <w:t>The current in-band emission mask for LTE V2X is too relaxed.</w:t>
      </w:r>
    </w:p>
    <w:p w:rsidR="001879D3" w:rsidRDefault="001879D3" w:rsidP="001879D3">
      <w:pPr>
        <w:jc w:val="both"/>
        <w:rPr>
          <w:i/>
        </w:rPr>
      </w:pPr>
      <w:r w:rsidRPr="00FC6672">
        <w:rPr>
          <w:b/>
          <w:i/>
        </w:rPr>
        <w:t>Observation</w:t>
      </w:r>
      <w:r>
        <w:rPr>
          <w:b/>
          <w:i/>
        </w:rPr>
        <w:t xml:space="preserve"> #2</w:t>
      </w:r>
      <w:r w:rsidRPr="001879D3">
        <w:rPr>
          <w:i/>
        </w:rPr>
        <w:t>:</w:t>
      </w:r>
      <w:r w:rsidR="00B958BA">
        <w:rPr>
          <w:i/>
        </w:rPr>
        <w:t xml:space="preserve"> </w:t>
      </w:r>
      <w:r>
        <w:rPr>
          <w:i/>
        </w:rPr>
        <w:t xml:space="preserve">The key difference in real operation between NR HH UE and V2X UE where power efficiency is the most important metric for HH UE while it is not the case for V2X UE </w:t>
      </w:r>
    </w:p>
    <w:p w:rsidR="001879D3" w:rsidRPr="001879D3" w:rsidRDefault="001879D3" w:rsidP="001879D3">
      <w:pPr>
        <w:jc w:val="both"/>
        <w:rPr>
          <w:i/>
        </w:rPr>
      </w:pPr>
      <w:r w:rsidRPr="001879D3">
        <w:rPr>
          <w:b/>
          <w:i/>
        </w:rPr>
        <w:t>Observation</w:t>
      </w:r>
      <w:r>
        <w:rPr>
          <w:b/>
          <w:i/>
        </w:rPr>
        <w:t xml:space="preserve"> #3</w:t>
      </w:r>
      <w:r w:rsidRPr="001879D3">
        <w:rPr>
          <w:i/>
        </w:rPr>
        <w:t>:</w:t>
      </w:r>
      <w:r w:rsidRPr="001879D3">
        <w:t xml:space="preserve"> </w:t>
      </w:r>
      <w:r w:rsidRPr="001879D3">
        <w:rPr>
          <w:i/>
        </w:rPr>
        <w:t>Having the near-far issue in V2X, RAN4 could come up with better solution for V2X performance by tightening IBE requirement while sacrificing power efficiency which is less concern for V2X UE.</w:t>
      </w:r>
    </w:p>
    <w:p w:rsidR="00880392" w:rsidRPr="00880392" w:rsidRDefault="00880392" w:rsidP="00880392">
      <w:pPr>
        <w:jc w:val="both"/>
        <w:rPr>
          <w:i/>
        </w:rPr>
      </w:pPr>
      <w:r w:rsidRPr="00880392">
        <w:rPr>
          <w:b/>
          <w:i/>
        </w:rPr>
        <w:t>Proposal #1</w:t>
      </w:r>
      <w:r w:rsidRPr="00880392">
        <w:rPr>
          <w:i/>
        </w:rPr>
        <w:t>:</w:t>
      </w:r>
      <w:r w:rsidR="00B958BA">
        <w:rPr>
          <w:i/>
        </w:rPr>
        <w:t xml:space="preserve"> </w:t>
      </w:r>
      <w:r w:rsidRPr="00880392">
        <w:rPr>
          <w:i/>
        </w:rPr>
        <w:t>RAN4 agrees on tightening V2X IBE requirement.</w:t>
      </w:r>
    </w:p>
    <w:p w:rsidR="00A204ED" w:rsidRDefault="00880392" w:rsidP="001879D3">
      <w:pPr>
        <w:jc w:val="both"/>
        <w:rPr>
          <w:i/>
        </w:rPr>
      </w:pPr>
      <w:r>
        <w:rPr>
          <w:b/>
          <w:i/>
        </w:rPr>
        <w:t>Proposal #2</w:t>
      </w:r>
      <w:r w:rsidR="00A204ED" w:rsidRPr="001879D3">
        <w:rPr>
          <w:i/>
        </w:rPr>
        <w:t>:</w:t>
      </w:r>
      <w:r w:rsidR="00B958BA">
        <w:rPr>
          <w:i/>
        </w:rPr>
        <w:t xml:space="preserve"> </w:t>
      </w:r>
      <w:r w:rsidR="00A204ED" w:rsidRPr="001879D3">
        <w:rPr>
          <w:i/>
        </w:rPr>
        <w:t>Use the FR1 IBE model defined in Table 1 for NR V2X studies</w:t>
      </w:r>
      <w:r w:rsidR="001879D3">
        <w:rPr>
          <w:i/>
        </w:rPr>
        <w:t>.</w:t>
      </w:r>
    </w:p>
    <w:p w:rsidR="001879D3" w:rsidRPr="001879D3" w:rsidRDefault="001879D3" w:rsidP="001879D3">
      <w:pPr>
        <w:jc w:val="both"/>
        <w:rPr>
          <w:i/>
        </w:rPr>
      </w:pPr>
    </w:p>
    <w:p w:rsidR="00A204ED" w:rsidRPr="00880392" w:rsidRDefault="00A204ED" w:rsidP="00A204ED">
      <w:pPr>
        <w:pStyle w:val="Caption"/>
        <w:jc w:val="center"/>
        <w:rPr>
          <w:sz w:val="20"/>
        </w:rPr>
      </w:pPr>
      <w:r w:rsidRPr="00880392">
        <w:rPr>
          <w:sz w:val="20"/>
        </w:rPr>
        <w:t xml:space="preserve">Table </w:t>
      </w:r>
      <w:r w:rsidRPr="00880392">
        <w:rPr>
          <w:sz w:val="20"/>
        </w:rPr>
        <w:fldChar w:fldCharType="begin"/>
      </w:r>
      <w:r w:rsidRPr="00880392">
        <w:rPr>
          <w:sz w:val="20"/>
        </w:rPr>
        <w:instrText xml:space="preserve"> SEQ Table \* ARABIC </w:instrText>
      </w:r>
      <w:r w:rsidRPr="00880392">
        <w:rPr>
          <w:sz w:val="20"/>
        </w:rPr>
        <w:fldChar w:fldCharType="separate"/>
      </w:r>
      <w:r w:rsidRPr="00880392">
        <w:rPr>
          <w:noProof/>
          <w:sz w:val="20"/>
        </w:rPr>
        <w:t>1</w:t>
      </w:r>
      <w:r w:rsidRPr="00880392">
        <w:rPr>
          <w:sz w:val="20"/>
        </w:rPr>
        <w:fldChar w:fldCharType="end"/>
      </w:r>
      <w:r w:rsidRPr="00880392">
        <w:rPr>
          <w:sz w:val="20"/>
        </w:rPr>
        <w:t>. Proposed IBE model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1173"/>
        <w:gridCol w:w="1286"/>
        <w:gridCol w:w="4192"/>
        <w:gridCol w:w="1695"/>
      </w:tblGrid>
      <w:tr w:rsidR="00A204ED" w:rsidRPr="00611CC4" w:rsidTr="002F319B">
        <w:trPr>
          <w:jc w:val="center"/>
        </w:trPr>
        <w:tc>
          <w:tcPr>
            <w:tcW w:w="666" w:type="pct"/>
            <w:tcBorders>
              <w:bottom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i/>
                <w:iCs/>
              </w:rPr>
            </w:pPr>
            <w:r w:rsidRPr="00611CC4">
              <w:rPr>
                <w:rFonts w:cs="Arial"/>
              </w:rPr>
              <w:t>Parameter description</w:t>
            </w:r>
          </w:p>
        </w:tc>
        <w:tc>
          <w:tcPr>
            <w:tcW w:w="609" w:type="pct"/>
            <w:tcBorders>
              <w:left w:val="single" w:sz="4" w:space="0" w:color="auto"/>
              <w:bottom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r w:rsidRPr="00611CC4">
              <w:rPr>
                <w:rFonts w:cs="Arial"/>
              </w:rPr>
              <w:t>Unit</w:t>
            </w:r>
          </w:p>
        </w:tc>
        <w:tc>
          <w:tcPr>
            <w:tcW w:w="2845" w:type="pct"/>
            <w:gridSpan w:val="2"/>
            <w:tcBorders>
              <w:left w:val="single" w:sz="4" w:space="0" w:color="auto"/>
              <w:bottom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r w:rsidRPr="00611CC4">
              <w:rPr>
                <w:rFonts w:cs="Arial"/>
              </w:rPr>
              <w:t>Limit (NOTE 1)</w:t>
            </w:r>
          </w:p>
        </w:tc>
        <w:tc>
          <w:tcPr>
            <w:tcW w:w="880" w:type="pct"/>
            <w:tcBorders>
              <w:left w:val="single" w:sz="4" w:space="0" w:color="auto"/>
              <w:bottom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r w:rsidRPr="00611CC4">
              <w:rPr>
                <w:rFonts w:cs="Arial"/>
              </w:rPr>
              <w:t>Applicable Frequencies</w:t>
            </w:r>
          </w:p>
        </w:tc>
      </w:tr>
      <w:tr w:rsidR="00A204ED" w:rsidRPr="00611CC4" w:rsidTr="002F319B">
        <w:trPr>
          <w:trHeight w:val="710"/>
          <w:jc w:val="center"/>
        </w:trPr>
        <w:tc>
          <w:tcPr>
            <w:tcW w:w="666" w:type="pct"/>
            <w:tcBorders>
              <w:top w:val="single" w:sz="4" w:space="0" w:color="auto"/>
              <w:bottom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r w:rsidRPr="00611CC4">
              <w:rPr>
                <w:rFonts w:cs="Arial"/>
              </w:rPr>
              <w:t>General</w:t>
            </w:r>
          </w:p>
        </w:tc>
        <w:tc>
          <w:tcPr>
            <w:tcW w:w="609" w:type="pct"/>
            <w:tcBorders>
              <w:top w:val="single" w:sz="4" w:space="0" w:color="auto"/>
              <w:left w:val="single" w:sz="4" w:space="0" w:color="auto"/>
              <w:bottom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r w:rsidRPr="00611CC4">
              <w:rPr>
                <w:rFonts w:cs="Arial"/>
              </w:rPr>
              <w:t>dB</w:t>
            </w:r>
          </w:p>
        </w:tc>
        <w:tc>
          <w:tcPr>
            <w:tcW w:w="2845" w:type="pct"/>
            <w:gridSpan w:val="2"/>
            <w:tcBorders>
              <w:top w:val="single" w:sz="4" w:space="0" w:color="auto"/>
              <w:left w:val="single" w:sz="4" w:space="0" w:color="auto"/>
              <w:bottom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lang w:eastAsia="ko-KR"/>
              </w:rPr>
            </w:pPr>
            <w:r w:rsidRPr="009E56BF">
              <w:rPr>
                <w:rFonts w:cs="Arial"/>
                <w:position w:val="-58"/>
                <w:highlight w:val="yellow"/>
              </w:rPr>
              <w:object w:dxaOrig="4420" w:dyaOrig="1240">
                <v:shape id="_x0000_i1029" type="#_x0000_t75" style="width:199.3pt;height:50.15pt" o:ole="">
                  <v:imagedata r:id="rId12" o:title=""/>
                </v:shape>
                <o:OLEObject Type="Embed" ProgID="Equation.DSMT4" ShapeID="_x0000_i1029" DrawAspect="Content" ObjectID="_1615580017" r:id="rId21"/>
              </w:object>
            </w:r>
          </w:p>
        </w:tc>
        <w:tc>
          <w:tcPr>
            <w:tcW w:w="880" w:type="pct"/>
            <w:tcBorders>
              <w:top w:val="single" w:sz="4" w:space="0" w:color="auto"/>
              <w:left w:val="single" w:sz="4" w:space="0" w:color="auto"/>
              <w:bottom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r w:rsidRPr="00611CC4">
              <w:rPr>
                <w:rFonts w:cs="Arial"/>
              </w:rPr>
              <w:t>Any non-allocated (NOTE 2)</w:t>
            </w:r>
          </w:p>
        </w:tc>
      </w:tr>
      <w:tr w:rsidR="00A204ED" w:rsidRPr="00611CC4" w:rsidTr="002F319B">
        <w:trPr>
          <w:trHeight w:val="20"/>
          <w:jc w:val="center"/>
        </w:trPr>
        <w:tc>
          <w:tcPr>
            <w:tcW w:w="666" w:type="pct"/>
            <w:vMerge w:val="restart"/>
            <w:tcBorders>
              <w:top w:val="single" w:sz="4" w:space="0" w:color="auto"/>
              <w:right w:val="single" w:sz="4" w:space="0" w:color="auto"/>
            </w:tcBorders>
            <w:shd w:val="clear" w:color="auto" w:fill="auto"/>
            <w:vAlign w:val="center"/>
          </w:tcPr>
          <w:p w:rsidR="00A204ED" w:rsidRPr="00A52C94" w:rsidRDefault="00A204ED" w:rsidP="00751A09">
            <w:pPr>
              <w:pStyle w:val="TAH"/>
              <w:keepNext w:val="0"/>
              <w:keepLines w:val="0"/>
              <w:spacing w:before="0"/>
              <w:rPr>
                <w:rFonts w:cs="Arial"/>
                <w:strike/>
              </w:rPr>
            </w:pPr>
            <w:r w:rsidRPr="00A52C94">
              <w:rPr>
                <w:rFonts w:cs="Arial"/>
                <w:strike/>
              </w:rPr>
              <w:t>IQ Image</w:t>
            </w:r>
          </w:p>
        </w:tc>
        <w:tc>
          <w:tcPr>
            <w:tcW w:w="609" w:type="pct"/>
            <w:vMerge w:val="restart"/>
            <w:tcBorders>
              <w:top w:val="single" w:sz="4" w:space="0" w:color="auto"/>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rPr>
            </w:pPr>
            <w:r w:rsidRPr="00A52C94">
              <w:rPr>
                <w:rFonts w:cs="Arial"/>
                <w:strike/>
              </w:rPr>
              <w:t>dB</w:t>
            </w:r>
          </w:p>
        </w:tc>
        <w:tc>
          <w:tcPr>
            <w:tcW w:w="668" w:type="pct"/>
            <w:tcBorders>
              <w:top w:val="single" w:sz="4" w:space="0" w:color="auto"/>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highlight w:val="yellow"/>
              </w:rPr>
            </w:pPr>
            <w:r w:rsidRPr="00A52C94">
              <w:rPr>
                <w:rFonts w:cs="Arial"/>
                <w:strike/>
                <w:highlight w:val="yellow"/>
              </w:rPr>
              <w:t>-28</w:t>
            </w:r>
            <w:r>
              <w:rPr>
                <w:rFonts w:cs="Arial"/>
                <w:strike/>
                <w:highlight w:val="yellow"/>
              </w:rPr>
              <w:t>- Y1</w:t>
            </w:r>
          </w:p>
        </w:tc>
        <w:tc>
          <w:tcPr>
            <w:tcW w:w="2177" w:type="pct"/>
            <w:tcBorders>
              <w:top w:val="single" w:sz="4" w:space="0" w:color="auto"/>
              <w:left w:val="single" w:sz="4" w:space="0" w:color="auto"/>
              <w:right w:val="single" w:sz="4" w:space="0" w:color="auto"/>
            </w:tcBorders>
            <w:vAlign w:val="center"/>
          </w:tcPr>
          <w:p w:rsidR="00A204ED" w:rsidRPr="00A52C94" w:rsidRDefault="00A204ED" w:rsidP="00751A09">
            <w:pPr>
              <w:pStyle w:val="TAL"/>
              <w:keepNext w:val="0"/>
              <w:keepLines w:val="0"/>
              <w:spacing w:before="0"/>
              <w:rPr>
                <w:rFonts w:cs="Arial"/>
                <w:strike/>
              </w:rPr>
            </w:pPr>
            <w:r w:rsidRPr="00A52C94">
              <w:rPr>
                <w:rFonts w:cs="Arial"/>
                <w:strike/>
              </w:rPr>
              <w:t>Image frequencies when output power &gt; 10 dBm</w:t>
            </w:r>
          </w:p>
        </w:tc>
        <w:tc>
          <w:tcPr>
            <w:tcW w:w="880" w:type="pct"/>
            <w:vMerge w:val="restart"/>
            <w:tcBorders>
              <w:top w:val="single" w:sz="4" w:space="0" w:color="auto"/>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rPr>
            </w:pPr>
            <w:r w:rsidRPr="00A52C94">
              <w:rPr>
                <w:rFonts w:cs="Arial"/>
                <w:strike/>
              </w:rPr>
              <w:t>Image frequencies (NOTES 2, 3)</w:t>
            </w:r>
          </w:p>
        </w:tc>
      </w:tr>
      <w:tr w:rsidR="00A204ED" w:rsidRPr="00611CC4" w:rsidTr="002F319B">
        <w:trPr>
          <w:trHeight w:val="20"/>
          <w:jc w:val="center"/>
        </w:trPr>
        <w:tc>
          <w:tcPr>
            <w:tcW w:w="666" w:type="pct"/>
            <w:vMerge/>
            <w:tcBorders>
              <w:right w:val="single" w:sz="4" w:space="0" w:color="auto"/>
            </w:tcBorders>
            <w:shd w:val="clear" w:color="auto" w:fill="auto"/>
            <w:vAlign w:val="center"/>
          </w:tcPr>
          <w:p w:rsidR="00A204ED" w:rsidRPr="00A52C94" w:rsidRDefault="00A204ED" w:rsidP="00751A09">
            <w:pPr>
              <w:pStyle w:val="TAH"/>
              <w:keepNext w:val="0"/>
              <w:keepLines w:val="0"/>
              <w:spacing w:before="0"/>
              <w:rPr>
                <w:rFonts w:cs="Arial"/>
                <w:strike/>
              </w:rPr>
            </w:pPr>
          </w:p>
        </w:tc>
        <w:tc>
          <w:tcPr>
            <w:tcW w:w="609" w:type="pct"/>
            <w:vMerge/>
            <w:tcBorders>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rPr>
            </w:pPr>
          </w:p>
        </w:tc>
        <w:tc>
          <w:tcPr>
            <w:tcW w:w="668" w:type="pct"/>
            <w:tcBorders>
              <w:top w:val="single" w:sz="4" w:space="0" w:color="auto"/>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highlight w:val="yellow"/>
              </w:rPr>
            </w:pPr>
            <w:r w:rsidRPr="00A52C94">
              <w:rPr>
                <w:rFonts w:cs="Arial"/>
                <w:strike/>
                <w:highlight w:val="yellow"/>
              </w:rPr>
              <w:t>-28 – Y2</w:t>
            </w:r>
          </w:p>
        </w:tc>
        <w:tc>
          <w:tcPr>
            <w:tcW w:w="2177" w:type="pct"/>
            <w:tcBorders>
              <w:top w:val="single" w:sz="4" w:space="0" w:color="auto"/>
              <w:left w:val="single" w:sz="4" w:space="0" w:color="auto"/>
              <w:right w:val="single" w:sz="4" w:space="0" w:color="auto"/>
            </w:tcBorders>
            <w:vAlign w:val="center"/>
          </w:tcPr>
          <w:p w:rsidR="00A204ED" w:rsidRPr="00A52C94" w:rsidRDefault="00A204ED" w:rsidP="00751A09">
            <w:pPr>
              <w:pStyle w:val="TAL"/>
              <w:keepNext w:val="0"/>
              <w:keepLines w:val="0"/>
              <w:spacing w:before="0"/>
              <w:rPr>
                <w:rFonts w:cs="Arial"/>
                <w:strike/>
              </w:rPr>
            </w:pPr>
            <w:r w:rsidRPr="00A52C94">
              <w:rPr>
                <w:rFonts w:cs="Arial"/>
                <w:strike/>
              </w:rPr>
              <w:t>Image frequencies when output power ≤ 10 dBm</w:t>
            </w:r>
          </w:p>
        </w:tc>
        <w:tc>
          <w:tcPr>
            <w:tcW w:w="880" w:type="pct"/>
            <w:vMerge/>
            <w:tcBorders>
              <w:left w:val="single" w:sz="4" w:space="0" w:color="auto"/>
              <w:right w:val="single" w:sz="4" w:space="0" w:color="auto"/>
            </w:tcBorders>
            <w:vAlign w:val="center"/>
          </w:tcPr>
          <w:p w:rsidR="00A204ED" w:rsidRPr="00A52C94" w:rsidRDefault="00A204ED" w:rsidP="00751A09">
            <w:pPr>
              <w:pStyle w:val="TAC"/>
              <w:keepNext w:val="0"/>
              <w:keepLines w:val="0"/>
              <w:spacing w:before="0"/>
              <w:rPr>
                <w:rFonts w:cs="Arial"/>
                <w:strike/>
              </w:rPr>
            </w:pPr>
          </w:p>
        </w:tc>
      </w:tr>
      <w:tr w:rsidR="00A204ED" w:rsidRPr="00611CC4" w:rsidTr="002F319B">
        <w:trPr>
          <w:trHeight w:val="208"/>
          <w:jc w:val="center"/>
        </w:trPr>
        <w:tc>
          <w:tcPr>
            <w:tcW w:w="666" w:type="pct"/>
            <w:vMerge w:val="restart"/>
            <w:tcBorders>
              <w:top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r w:rsidRPr="00611CC4">
              <w:rPr>
                <w:rFonts w:cs="Arial"/>
              </w:rPr>
              <w:t>Carrier leakage</w:t>
            </w:r>
          </w:p>
        </w:tc>
        <w:tc>
          <w:tcPr>
            <w:tcW w:w="609" w:type="pct"/>
            <w:vMerge w:val="restart"/>
            <w:tcBorders>
              <w:top w:val="single" w:sz="4" w:space="0" w:color="auto"/>
              <w:left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r w:rsidRPr="00611CC4">
              <w:rPr>
                <w:rFonts w:cs="Arial"/>
              </w:rPr>
              <w:t>dBc</w:t>
            </w:r>
          </w:p>
        </w:tc>
        <w:tc>
          <w:tcPr>
            <w:tcW w:w="668" w:type="pct"/>
            <w:tcBorders>
              <w:top w:val="single" w:sz="4" w:space="0" w:color="auto"/>
              <w:left w:val="single" w:sz="4" w:space="0" w:color="auto"/>
              <w:right w:val="single" w:sz="4" w:space="0" w:color="auto"/>
            </w:tcBorders>
            <w:vAlign w:val="center"/>
          </w:tcPr>
          <w:p w:rsidR="00A204ED" w:rsidRPr="00943D04" w:rsidRDefault="00A204ED" w:rsidP="00751A09">
            <w:pPr>
              <w:pStyle w:val="TAC"/>
              <w:keepNext w:val="0"/>
              <w:keepLines w:val="0"/>
              <w:spacing w:before="0"/>
              <w:rPr>
                <w:rFonts w:cs="Arial"/>
                <w:highlight w:val="yellow"/>
              </w:rPr>
            </w:pPr>
            <w:r w:rsidRPr="00943D04">
              <w:rPr>
                <w:rFonts w:cs="Arial"/>
                <w:highlight w:val="yellow"/>
              </w:rPr>
              <w:t xml:space="preserve">-28 – Z1 </w:t>
            </w:r>
          </w:p>
        </w:tc>
        <w:tc>
          <w:tcPr>
            <w:tcW w:w="2177" w:type="pct"/>
            <w:tcBorders>
              <w:top w:val="single" w:sz="4" w:space="0" w:color="auto"/>
              <w:left w:val="single" w:sz="4" w:space="0" w:color="auto"/>
              <w:right w:val="single" w:sz="4" w:space="0" w:color="auto"/>
            </w:tcBorders>
            <w:shd w:val="clear" w:color="auto" w:fill="auto"/>
            <w:vAlign w:val="center"/>
          </w:tcPr>
          <w:p w:rsidR="00A204ED" w:rsidRPr="00611CC4" w:rsidRDefault="00A204ED" w:rsidP="00751A09">
            <w:pPr>
              <w:pStyle w:val="TAL"/>
              <w:keepNext w:val="0"/>
              <w:keepLines w:val="0"/>
              <w:spacing w:before="0"/>
              <w:rPr>
                <w:rFonts w:cs="Arial"/>
              </w:rPr>
            </w:pPr>
            <w:r w:rsidRPr="00611CC4">
              <w:rPr>
                <w:rFonts w:cs="Arial"/>
              </w:rPr>
              <w:t xml:space="preserve">Output power &gt; 10 dBm </w:t>
            </w:r>
          </w:p>
        </w:tc>
        <w:tc>
          <w:tcPr>
            <w:tcW w:w="880" w:type="pct"/>
            <w:vMerge w:val="restart"/>
            <w:tcBorders>
              <w:top w:val="single" w:sz="4" w:space="0" w:color="auto"/>
              <w:left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r w:rsidRPr="00611CC4">
              <w:rPr>
                <w:rFonts w:cs="Arial"/>
              </w:rPr>
              <w:t>Carrier leakage frequency (NOTES 4, 5)</w:t>
            </w:r>
          </w:p>
        </w:tc>
      </w:tr>
      <w:tr w:rsidR="00A204ED" w:rsidRPr="00611CC4" w:rsidTr="002F319B">
        <w:trPr>
          <w:trHeight w:val="208"/>
          <w:jc w:val="center"/>
        </w:trPr>
        <w:tc>
          <w:tcPr>
            <w:tcW w:w="666" w:type="pct"/>
            <w:vMerge/>
            <w:tcBorders>
              <w:top w:val="single" w:sz="4" w:space="0" w:color="auto"/>
              <w:right w:val="single" w:sz="4" w:space="0" w:color="auto"/>
            </w:tcBorders>
            <w:shd w:val="clear" w:color="auto" w:fill="auto"/>
            <w:vAlign w:val="center"/>
          </w:tcPr>
          <w:p w:rsidR="00A204ED" w:rsidRPr="00611CC4" w:rsidRDefault="00A204ED" w:rsidP="00751A09">
            <w:pPr>
              <w:pStyle w:val="TAH"/>
              <w:keepNext w:val="0"/>
              <w:keepLines w:val="0"/>
              <w:spacing w:before="0"/>
              <w:rPr>
                <w:rFonts w:cs="Arial"/>
              </w:rPr>
            </w:pPr>
          </w:p>
        </w:tc>
        <w:tc>
          <w:tcPr>
            <w:tcW w:w="609" w:type="pct"/>
            <w:vMerge/>
            <w:tcBorders>
              <w:top w:val="single" w:sz="4" w:space="0" w:color="auto"/>
              <w:left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204ED" w:rsidRPr="00943D04" w:rsidRDefault="00A204ED" w:rsidP="00751A09">
            <w:pPr>
              <w:pStyle w:val="TAC"/>
              <w:keepNext w:val="0"/>
              <w:keepLines w:val="0"/>
              <w:spacing w:before="0"/>
              <w:rPr>
                <w:rFonts w:cs="Arial"/>
                <w:highlight w:val="yellow"/>
              </w:rPr>
            </w:pPr>
            <w:r w:rsidRPr="00943D04">
              <w:rPr>
                <w:rFonts w:cs="Arial"/>
                <w:highlight w:val="yellow"/>
              </w:rPr>
              <w:t>-25 – Z2</w:t>
            </w:r>
          </w:p>
        </w:tc>
        <w:tc>
          <w:tcPr>
            <w:tcW w:w="2177" w:type="pct"/>
            <w:tcBorders>
              <w:top w:val="single" w:sz="4" w:space="0" w:color="auto"/>
              <w:left w:val="single" w:sz="4" w:space="0" w:color="auto"/>
              <w:right w:val="single" w:sz="4" w:space="0" w:color="auto"/>
            </w:tcBorders>
            <w:shd w:val="clear" w:color="auto" w:fill="auto"/>
            <w:vAlign w:val="center"/>
          </w:tcPr>
          <w:p w:rsidR="00A204ED" w:rsidRPr="00611CC4" w:rsidRDefault="00A204ED" w:rsidP="00751A09">
            <w:pPr>
              <w:pStyle w:val="TAL"/>
              <w:keepNext w:val="0"/>
              <w:keepLines w:val="0"/>
              <w:spacing w:before="0"/>
              <w:rPr>
                <w:rFonts w:cs="Arial"/>
              </w:rPr>
            </w:pPr>
            <w:r w:rsidRPr="00611CC4">
              <w:rPr>
                <w:rFonts w:cs="Arial"/>
              </w:rPr>
              <w:t>0 dBm ≤ Output power ≤10 dBm</w:t>
            </w:r>
          </w:p>
        </w:tc>
        <w:tc>
          <w:tcPr>
            <w:tcW w:w="880" w:type="pct"/>
            <w:vMerge/>
            <w:tcBorders>
              <w:top w:val="single" w:sz="4" w:space="0" w:color="auto"/>
              <w:left w:val="single" w:sz="4" w:space="0" w:color="auto"/>
              <w:right w:val="single" w:sz="4" w:space="0" w:color="auto"/>
            </w:tcBorders>
            <w:vAlign w:val="center"/>
          </w:tcPr>
          <w:p w:rsidR="00A204ED" w:rsidRPr="00611CC4" w:rsidRDefault="00A204ED" w:rsidP="00751A09">
            <w:pPr>
              <w:spacing w:before="0" w:after="0"/>
            </w:pPr>
          </w:p>
        </w:tc>
      </w:tr>
      <w:tr w:rsidR="00A204ED" w:rsidRPr="00611CC4" w:rsidTr="002F319B">
        <w:trPr>
          <w:trHeight w:val="206"/>
          <w:jc w:val="center"/>
        </w:trPr>
        <w:tc>
          <w:tcPr>
            <w:tcW w:w="666" w:type="pct"/>
            <w:vMerge/>
            <w:tcBorders>
              <w:right w:val="single" w:sz="4" w:space="0" w:color="auto"/>
            </w:tcBorders>
            <w:shd w:val="clear" w:color="auto" w:fill="auto"/>
            <w:vAlign w:val="center"/>
          </w:tcPr>
          <w:p w:rsidR="00A204ED" w:rsidRPr="00611CC4" w:rsidRDefault="00A204ED" w:rsidP="00751A09">
            <w:pPr>
              <w:spacing w:before="0" w:after="0"/>
              <w:rPr>
                <w:b/>
              </w:rPr>
            </w:pPr>
          </w:p>
        </w:tc>
        <w:tc>
          <w:tcPr>
            <w:tcW w:w="609" w:type="pct"/>
            <w:vMerge/>
            <w:tcBorders>
              <w:left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204ED" w:rsidRPr="00943D04" w:rsidRDefault="00A204ED" w:rsidP="00751A09">
            <w:pPr>
              <w:pStyle w:val="TAC"/>
              <w:keepNext w:val="0"/>
              <w:keepLines w:val="0"/>
              <w:spacing w:before="0"/>
              <w:rPr>
                <w:rFonts w:cs="Arial"/>
                <w:highlight w:val="yellow"/>
              </w:rPr>
            </w:pPr>
            <w:r w:rsidRPr="00943D04">
              <w:rPr>
                <w:rFonts w:cs="Arial"/>
                <w:highlight w:val="yellow"/>
              </w:rPr>
              <w:t>-20 – Z3</w:t>
            </w:r>
          </w:p>
        </w:tc>
        <w:tc>
          <w:tcPr>
            <w:tcW w:w="2177" w:type="pct"/>
            <w:tcBorders>
              <w:left w:val="single" w:sz="4" w:space="0" w:color="auto"/>
              <w:right w:val="single" w:sz="4" w:space="0" w:color="auto"/>
            </w:tcBorders>
            <w:shd w:val="clear" w:color="auto" w:fill="auto"/>
            <w:vAlign w:val="center"/>
          </w:tcPr>
          <w:p w:rsidR="00A204ED" w:rsidRPr="00611CC4" w:rsidRDefault="00A204ED" w:rsidP="00751A09">
            <w:pPr>
              <w:pStyle w:val="TAL"/>
              <w:keepNext w:val="0"/>
              <w:keepLines w:val="0"/>
              <w:spacing w:before="0"/>
              <w:rPr>
                <w:rFonts w:cs="Arial"/>
              </w:rPr>
            </w:pPr>
            <w:r w:rsidRPr="00611CC4">
              <w:rPr>
                <w:rFonts w:cs="Arial"/>
              </w:rPr>
              <w:t>-30 dBm ≤ Output power ≤ 0 dBm</w:t>
            </w:r>
          </w:p>
        </w:tc>
        <w:tc>
          <w:tcPr>
            <w:tcW w:w="880" w:type="pct"/>
            <w:vMerge/>
            <w:tcBorders>
              <w:left w:val="single" w:sz="4" w:space="0" w:color="auto"/>
              <w:right w:val="single" w:sz="4" w:space="0" w:color="auto"/>
            </w:tcBorders>
            <w:vAlign w:val="center"/>
          </w:tcPr>
          <w:p w:rsidR="00A204ED" w:rsidRPr="00611CC4" w:rsidRDefault="00A204ED" w:rsidP="00751A09">
            <w:pPr>
              <w:spacing w:before="0" w:after="0"/>
            </w:pPr>
          </w:p>
        </w:tc>
      </w:tr>
      <w:tr w:rsidR="00A204ED" w:rsidRPr="00611CC4" w:rsidTr="002F319B">
        <w:trPr>
          <w:trHeight w:val="206"/>
          <w:jc w:val="center"/>
        </w:trPr>
        <w:tc>
          <w:tcPr>
            <w:tcW w:w="666" w:type="pct"/>
            <w:vMerge/>
            <w:tcBorders>
              <w:right w:val="single" w:sz="4" w:space="0" w:color="auto"/>
            </w:tcBorders>
            <w:shd w:val="clear" w:color="auto" w:fill="auto"/>
            <w:vAlign w:val="center"/>
          </w:tcPr>
          <w:p w:rsidR="00A204ED" w:rsidRPr="00611CC4" w:rsidRDefault="00A204ED" w:rsidP="00751A09">
            <w:pPr>
              <w:spacing w:before="0" w:after="0"/>
              <w:rPr>
                <w:b/>
              </w:rPr>
            </w:pPr>
          </w:p>
        </w:tc>
        <w:tc>
          <w:tcPr>
            <w:tcW w:w="609" w:type="pct"/>
            <w:vMerge/>
            <w:tcBorders>
              <w:left w:val="single" w:sz="4" w:space="0" w:color="auto"/>
              <w:right w:val="single" w:sz="4" w:space="0" w:color="auto"/>
            </w:tcBorders>
            <w:vAlign w:val="center"/>
          </w:tcPr>
          <w:p w:rsidR="00A204ED" w:rsidRPr="00611CC4" w:rsidRDefault="00A204ED" w:rsidP="00751A09">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rsidR="00A204ED" w:rsidRPr="00943D04" w:rsidRDefault="00A204ED" w:rsidP="00751A09">
            <w:pPr>
              <w:pStyle w:val="TAC"/>
              <w:keepNext w:val="0"/>
              <w:keepLines w:val="0"/>
              <w:spacing w:before="0"/>
              <w:rPr>
                <w:rFonts w:cs="Arial"/>
                <w:highlight w:val="yellow"/>
              </w:rPr>
            </w:pPr>
            <w:r w:rsidRPr="00943D04">
              <w:rPr>
                <w:rFonts w:cs="Arial"/>
                <w:highlight w:val="yellow"/>
              </w:rPr>
              <w:t>-10 – Z4</w:t>
            </w:r>
          </w:p>
        </w:tc>
        <w:tc>
          <w:tcPr>
            <w:tcW w:w="2177" w:type="pct"/>
            <w:tcBorders>
              <w:left w:val="single" w:sz="4" w:space="0" w:color="auto"/>
              <w:right w:val="single" w:sz="4" w:space="0" w:color="auto"/>
            </w:tcBorders>
            <w:shd w:val="clear" w:color="auto" w:fill="auto"/>
            <w:vAlign w:val="center"/>
          </w:tcPr>
          <w:p w:rsidR="00A204ED" w:rsidRPr="00611CC4" w:rsidRDefault="00A204ED" w:rsidP="00751A09">
            <w:pPr>
              <w:pStyle w:val="TAL"/>
              <w:keepNext w:val="0"/>
              <w:keepLines w:val="0"/>
              <w:spacing w:before="0"/>
              <w:rPr>
                <w:rFonts w:cs="Arial"/>
              </w:rPr>
            </w:pPr>
            <w:r w:rsidRPr="00611CC4">
              <w:rPr>
                <w:rFonts w:cs="Arial"/>
              </w:rPr>
              <w:t xml:space="preserve">-40 dBm </w:t>
            </w:r>
            <w:r w:rsidRPr="00611CC4">
              <w:rPr>
                <w:rFonts w:cs="Arial"/>
              </w:rPr>
              <w:sym w:font="Symbol" w:char="F0A3"/>
            </w:r>
            <w:r w:rsidRPr="00611CC4">
              <w:rPr>
                <w:rFonts w:cs="Arial"/>
              </w:rPr>
              <w:t xml:space="preserve"> Output power &lt; -30 dBm</w:t>
            </w:r>
          </w:p>
        </w:tc>
        <w:tc>
          <w:tcPr>
            <w:tcW w:w="880" w:type="pct"/>
            <w:vMerge/>
            <w:tcBorders>
              <w:left w:val="single" w:sz="4" w:space="0" w:color="auto"/>
              <w:right w:val="single" w:sz="4" w:space="0" w:color="auto"/>
            </w:tcBorders>
            <w:vAlign w:val="center"/>
          </w:tcPr>
          <w:p w:rsidR="00A204ED" w:rsidRPr="00611CC4" w:rsidRDefault="00A204ED" w:rsidP="00751A09">
            <w:pPr>
              <w:spacing w:before="0" w:after="0"/>
            </w:pPr>
          </w:p>
        </w:tc>
      </w:tr>
      <w:tr w:rsidR="00A204ED" w:rsidRPr="00611CC4" w:rsidTr="00751A09">
        <w:trPr>
          <w:trHeight w:val="424"/>
          <w:jc w:val="center"/>
        </w:trPr>
        <w:tc>
          <w:tcPr>
            <w:tcW w:w="5000" w:type="pct"/>
            <w:gridSpan w:val="5"/>
            <w:tcBorders>
              <w:right w:val="single" w:sz="4" w:space="0" w:color="auto"/>
            </w:tcBorders>
            <w:shd w:val="clear" w:color="auto" w:fill="auto"/>
            <w:vAlign w:val="center"/>
          </w:tcPr>
          <w:p w:rsidR="00A204ED" w:rsidRPr="00943D04" w:rsidRDefault="00A204ED" w:rsidP="00751A09">
            <w:pPr>
              <w:pStyle w:val="TAN"/>
              <w:keepNext w:val="0"/>
              <w:keepLines w:val="0"/>
              <w:spacing w:before="0"/>
              <w:rPr>
                <w:rFonts w:cs="Arial"/>
                <w:sz w:val="16"/>
              </w:rPr>
            </w:pPr>
            <w:r w:rsidRPr="00943D04">
              <w:rPr>
                <w:rFonts w:cs="Arial"/>
                <w:sz w:val="16"/>
              </w:rPr>
              <w:t>NOTE 1:</w:t>
            </w:r>
            <w:r w:rsidRPr="00943D04">
              <w:rPr>
                <w:rFonts w:cs="Arial"/>
                <w:sz w:val="16"/>
              </w:rPr>
              <w:tab/>
              <w:t xml:space="preserve">An in-band emissions combined limit is evaluated in each non-allocated RB. For each such RB, the minimum requirement is calculated as the higher of </w:t>
            </w:r>
            <w:r w:rsidRPr="002C07DB">
              <w:rPr>
                <w:rFonts w:cs="Arial"/>
                <w:i/>
                <w:sz w:val="16"/>
                <w:highlight w:val="yellow"/>
              </w:rPr>
              <w:t>P</w:t>
            </w:r>
            <w:r w:rsidRPr="002C07DB">
              <w:rPr>
                <w:rFonts w:cs="Arial"/>
                <w:i/>
                <w:sz w:val="16"/>
                <w:highlight w:val="yellow"/>
                <w:vertAlign w:val="subscript"/>
              </w:rPr>
              <w:t xml:space="preserve">RB </w:t>
            </w:r>
            <w:r w:rsidRPr="002C07DB">
              <w:rPr>
                <w:rFonts w:cs="Arial"/>
                <w:sz w:val="16"/>
                <w:highlight w:val="yellow"/>
              </w:rPr>
              <w:t xml:space="preserve">- 30 dB – </w:t>
            </w:r>
            <w:r w:rsidRPr="00844D93">
              <w:rPr>
                <w:rFonts w:cs="Arial"/>
                <w:sz w:val="16"/>
                <w:highlight w:val="yellow"/>
              </w:rPr>
              <w:t>W</w:t>
            </w:r>
            <w:r w:rsidRPr="00943D04">
              <w:rPr>
                <w:rFonts w:cs="Arial"/>
                <w:sz w:val="16"/>
              </w:rPr>
              <w:t xml:space="preserve"> and the power sum of all limit values (General, IQ Image or Carrier leakage) that apply. </w:t>
            </w:r>
            <w:r w:rsidRPr="00943D04">
              <w:rPr>
                <w:rFonts w:cs="Arial"/>
                <w:i/>
                <w:sz w:val="16"/>
              </w:rPr>
              <w:t>P</w:t>
            </w:r>
            <w:r w:rsidRPr="00943D04">
              <w:rPr>
                <w:rFonts w:cs="Arial"/>
                <w:i/>
                <w:sz w:val="16"/>
                <w:vertAlign w:val="subscript"/>
              </w:rPr>
              <w:t>RB</w:t>
            </w:r>
            <w:r w:rsidRPr="00943D04">
              <w:rPr>
                <w:rFonts w:cs="Arial"/>
                <w:i/>
                <w:sz w:val="16"/>
              </w:rPr>
              <w:t xml:space="preserve"> </w:t>
            </w:r>
            <w:r w:rsidRPr="00943D04">
              <w:rPr>
                <w:rFonts w:cs="Arial"/>
                <w:sz w:val="16"/>
              </w:rPr>
              <w:t>is defined in NOTE 10.</w:t>
            </w:r>
          </w:p>
          <w:p w:rsidR="00A204ED" w:rsidRPr="00A204ED" w:rsidRDefault="00A204ED" w:rsidP="00751A09">
            <w:pPr>
              <w:pStyle w:val="TAN"/>
              <w:keepNext w:val="0"/>
              <w:keepLines w:val="0"/>
              <w:spacing w:before="0"/>
              <w:rPr>
                <w:rFonts w:cs="Arial"/>
                <w:sz w:val="16"/>
              </w:rPr>
            </w:pPr>
            <w:r w:rsidRPr="00A204ED">
              <w:rPr>
                <w:rFonts w:cs="Arial"/>
                <w:sz w:val="16"/>
              </w:rPr>
              <w:t>….</w:t>
            </w:r>
          </w:p>
          <w:p w:rsidR="00A204ED" w:rsidRPr="00611CC4" w:rsidRDefault="001879D3" w:rsidP="00751A09">
            <w:pPr>
              <w:pStyle w:val="TAN"/>
              <w:keepNext w:val="0"/>
              <w:keepLines w:val="0"/>
              <w:spacing w:before="0"/>
              <w:rPr>
                <w:rFonts w:cs="Arial"/>
              </w:rPr>
            </w:pPr>
            <w:r w:rsidRPr="00A52C94">
              <w:rPr>
                <w:rFonts w:cs="Arial"/>
                <w:sz w:val="16"/>
                <w:highlight w:val="yellow"/>
              </w:rPr>
              <w:t xml:space="preserve">NOTE 11:  </w:t>
            </w:r>
            <w:r>
              <w:rPr>
                <w:rFonts w:cs="Arial"/>
                <w:sz w:val="16"/>
                <w:highlight w:val="yellow"/>
              </w:rPr>
              <w:t xml:space="preserve">  W = 7 dB; X1 = 7 dB; X2 = 0/4/7</w:t>
            </w:r>
            <w:r w:rsidRPr="00A52C94">
              <w:rPr>
                <w:rFonts w:cs="Arial"/>
                <w:sz w:val="16"/>
                <w:highlight w:val="yellow"/>
              </w:rPr>
              <w:t xml:space="preserve"> dB for 64QAM / 16QAM / QPSK; Z1 = Z2 = 10dB;  Z3 = Z4 = 0dB</w:t>
            </w:r>
          </w:p>
        </w:tc>
      </w:tr>
    </w:tbl>
    <w:p w:rsidR="00CD2B04" w:rsidRPr="00EC03EF" w:rsidRDefault="00CD2B04" w:rsidP="009C2D12">
      <w:pPr>
        <w:pStyle w:val="Heading1"/>
        <w:numPr>
          <w:ilvl w:val="0"/>
          <w:numId w:val="0"/>
        </w:numPr>
        <w:rPr>
          <w:lang w:val="en-US"/>
        </w:rPr>
      </w:pPr>
      <w:r w:rsidRPr="00EC03EF">
        <w:lastRenderedPageBreak/>
        <w:t>References</w:t>
      </w:r>
    </w:p>
    <w:p w:rsidR="00E41DB4" w:rsidRDefault="00E41DB4" w:rsidP="00023DD2">
      <w:pPr>
        <w:widowControl w:val="0"/>
        <w:numPr>
          <w:ilvl w:val="0"/>
          <w:numId w:val="8"/>
        </w:numPr>
        <w:jc w:val="both"/>
      </w:pPr>
      <w:r w:rsidRPr="003C4D14">
        <w:t>R1-1810006</w:t>
      </w:r>
      <w:r w:rsidRPr="00313BF9">
        <w:t xml:space="preserve"> “</w:t>
      </w:r>
      <w:r w:rsidRPr="003C4D14">
        <w:t>LS on IBE model for V2X</w:t>
      </w:r>
      <w:r w:rsidRPr="00313BF9">
        <w:t>”</w:t>
      </w:r>
      <w:r>
        <w:t>,</w:t>
      </w:r>
      <w:r w:rsidRPr="00313BF9">
        <w:t xml:space="preserve"> </w:t>
      </w:r>
      <w:r w:rsidRPr="003C4D14">
        <w:t>RAN WG1, Ericsson</w:t>
      </w:r>
      <w:r>
        <w:t>, RAN1 #94, August 2018</w:t>
      </w:r>
    </w:p>
    <w:p w:rsidR="0005456B" w:rsidRPr="0005456B" w:rsidRDefault="0005456B" w:rsidP="00023DD2">
      <w:pPr>
        <w:widowControl w:val="0"/>
        <w:numPr>
          <w:ilvl w:val="0"/>
          <w:numId w:val="8"/>
        </w:numPr>
        <w:jc w:val="both"/>
      </w:pPr>
      <w:r w:rsidRPr="0005456B">
        <w:t>R4-1814322</w:t>
      </w:r>
      <w:r>
        <w:t xml:space="preserve"> “</w:t>
      </w:r>
      <w:r w:rsidRPr="0005456B">
        <w:t>WF on NR V2X RF operating parameters based on RAN1 incoming LS</w:t>
      </w:r>
      <w:r>
        <w:t xml:space="preserve">”, </w:t>
      </w:r>
      <w:r w:rsidRPr="0005456B">
        <w:rPr>
          <w:lang w:val="en-US"/>
        </w:rPr>
        <w:t>LG Electronics, Ericsson, Intel, Huawei, CATT, Qualcomm</w:t>
      </w:r>
      <w:r>
        <w:rPr>
          <w:lang w:val="en-US"/>
        </w:rPr>
        <w:t>, RAN4 #88bis, October 2018</w:t>
      </w:r>
    </w:p>
    <w:p w:rsidR="00DF3E97" w:rsidRDefault="00DF3E97" w:rsidP="00023DD2">
      <w:pPr>
        <w:widowControl w:val="0"/>
        <w:numPr>
          <w:ilvl w:val="0"/>
          <w:numId w:val="8"/>
        </w:numPr>
        <w:jc w:val="both"/>
      </w:pPr>
      <w:r w:rsidRPr="00DF3E97">
        <w:t>R1-1808697</w:t>
      </w:r>
      <w:r>
        <w:t xml:space="preserve"> “</w:t>
      </w:r>
      <w:r w:rsidRPr="00DF3E97">
        <w:t>Remaining Aspects of eV2X Evaluation Methodology and Assumptions</w:t>
      </w:r>
      <w:r>
        <w:t>”, Intel Corporation, RAN1 #94, August 2018</w:t>
      </w:r>
    </w:p>
    <w:p w:rsidR="00F55C34" w:rsidRDefault="00F55C34" w:rsidP="00F55C34">
      <w:pPr>
        <w:pStyle w:val="ListParagraph"/>
        <w:widowControl w:val="0"/>
        <w:numPr>
          <w:ilvl w:val="0"/>
          <w:numId w:val="8"/>
        </w:numPr>
        <w:tabs>
          <w:tab w:val="num" w:pos="708"/>
        </w:tabs>
        <w:autoSpaceDN w:val="0"/>
        <w:spacing w:before="0" w:after="60"/>
        <w:jc w:val="both"/>
        <w:rPr>
          <w:rFonts w:ascii="Times New Roman" w:eastAsia="SimSun" w:hAnsi="Times New Roman"/>
          <w:sz w:val="20"/>
          <w:szCs w:val="20"/>
        </w:rPr>
      </w:pPr>
      <w:bookmarkStart w:id="4" w:name="_Ref520882797"/>
      <w:r w:rsidRPr="008B5E3F">
        <w:rPr>
          <w:rFonts w:ascii="Times New Roman" w:eastAsia="SimSun" w:hAnsi="Times New Roman"/>
          <w:sz w:val="20"/>
          <w:szCs w:val="20"/>
        </w:rPr>
        <w:t>3GPP TR 36.843, “Study on LTE Device to Device Proximity Services</w:t>
      </w:r>
      <w:r>
        <w:rPr>
          <w:rFonts w:ascii="Times New Roman" w:eastAsia="SimSun" w:hAnsi="Times New Roman"/>
          <w:sz w:val="20"/>
          <w:szCs w:val="20"/>
        </w:rPr>
        <w:t>”, V12.0.1</w:t>
      </w:r>
    </w:p>
    <w:p w:rsidR="007B64F4" w:rsidRDefault="007B64F4" w:rsidP="00F55C34">
      <w:pPr>
        <w:pStyle w:val="ListParagraph"/>
        <w:widowControl w:val="0"/>
        <w:numPr>
          <w:ilvl w:val="0"/>
          <w:numId w:val="8"/>
        </w:numPr>
        <w:tabs>
          <w:tab w:val="num" w:pos="708"/>
        </w:tabs>
        <w:autoSpaceDN w:val="0"/>
        <w:spacing w:before="0" w:after="60"/>
        <w:jc w:val="both"/>
        <w:rPr>
          <w:rFonts w:ascii="Times New Roman" w:eastAsia="SimSun" w:hAnsi="Times New Roman"/>
          <w:sz w:val="20"/>
          <w:szCs w:val="20"/>
        </w:rPr>
      </w:pPr>
      <w:r>
        <w:rPr>
          <w:rFonts w:ascii="Times New Roman" w:eastAsia="SimSun" w:hAnsi="Times New Roman"/>
          <w:sz w:val="20"/>
          <w:szCs w:val="20"/>
        </w:rPr>
        <w:t>R4-1816666 “Reply LS on NR V2x”, LG Electronics, RAN4#89, November 2018</w:t>
      </w:r>
    </w:p>
    <w:bookmarkEnd w:id="4"/>
    <w:p w:rsidR="00CD2B04" w:rsidRPr="006416DD" w:rsidRDefault="00CD2B04" w:rsidP="00E41DB4">
      <w:pPr>
        <w:widowControl w:val="0"/>
        <w:overflowPunct/>
        <w:autoSpaceDE/>
        <w:adjustRightInd/>
        <w:jc w:val="both"/>
        <w:textAlignment w:val="auto"/>
        <w:rPr>
          <w:rFonts w:eastAsia="MS Mincho"/>
          <w:lang w:bidi="hi-IN"/>
        </w:rPr>
      </w:pPr>
    </w:p>
    <w:sectPr w:rsidR="00CD2B04" w:rsidRPr="006416DD" w:rsidSect="002F319B">
      <w:headerReference w:type="even" r:id="rId22"/>
      <w:footerReference w:type="even" r:id="rId23"/>
      <w:footerReference w:type="default" r:id="rId2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A26" w:rsidRDefault="00F76A26">
      <w:r>
        <w:separator/>
      </w:r>
    </w:p>
  </w:endnote>
  <w:endnote w:type="continuationSeparator" w:id="0">
    <w:p w:rsidR="00F76A26" w:rsidRDefault="00F76A26">
      <w:r>
        <w:continuationSeparator/>
      </w:r>
    </w:p>
  </w:endnote>
  <w:endnote w:type="continuationNotice" w:id="1">
    <w:p w:rsidR="00F76A26" w:rsidRDefault="00F76A2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BB" w:rsidRDefault="003542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42BB" w:rsidRDefault="003542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BB" w:rsidRPr="00DB1239" w:rsidRDefault="003542B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EB4CA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4CAA">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A26" w:rsidRDefault="00F76A26">
      <w:r>
        <w:separator/>
      </w:r>
    </w:p>
  </w:footnote>
  <w:footnote w:type="continuationSeparator" w:id="0">
    <w:p w:rsidR="00F76A26" w:rsidRDefault="00F76A26">
      <w:r>
        <w:continuationSeparator/>
      </w:r>
    </w:p>
  </w:footnote>
  <w:footnote w:type="continuationNotice" w:id="1">
    <w:p w:rsidR="00F76A26" w:rsidRDefault="00F76A26">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BB" w:rsidRDefault="003542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4"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F55CC4"/>
    <w:multiLevelType w:val="hybridMultilevel"/>
    <w:tmpl w:val="B0F88918"/>
    <w:lvl w:ilvl="0" w:tplc="7AA479A8">
      <w:start w:val="1"/>
      <w:numFmt w:val="bullet"/>
      <w:lvlText w:val="-"/>
      <w:lvlJc w:val="left"/>
      <w:pPr>
        <w:ind w:left="360" w:hanging="360"/>
      </w:pPr>
      <w:rPr>
        <w:rFonts w:ascii="Arial" w:eastAsia="Gulim"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0"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2E73FD"/>
    <w:multiLevelType w:val="hybridMultilevel"/>
    <w:tmpl w:val="F16A33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0"/>
  </w:num>
  <w:num w:numId="3">
    <w:abstractNumId w:val="12"/>
  </w:num>
  <w:num w:numId="4">
    <w:abstractNumId w:val="1"/>
  </w:num>
  <w:num w:numId="5">
    <w:abstractNumId w:val="7"/>
  </w:num>
  <w:num w:numId="6">
    <w:abstractNumId w:val="3"/>
  </w:num>
  <w:num w:numId="7">
    <w:abstractNumId w:val="18"/>
  </w:num>
  <w:num w:numId="8">
    <w:abstractNumId w:val="6"/>
  </w:num>
  <w:num w:numId="9">
    <w:abstractNumId w:val="5"/>
  </w:num>
  <w:num w:numId="10">
    <w:abstractNumId w:val="15"/>
  </w:num>
  <w:num w:numId="11">
    <w:abstractNumId w:val="17"/>
  </w:num>
  <w:num w:numId="12">
    <w:abstractNumId w:val="19"/>
  </w:num>
  <w:num w:numId="13">
    <w:abstractNumId w:val="22"/>
  </w:num>
  <w:num w:numId="14">
    <w:abstractNumId w:val="16"/>
  </w:num>
  <w:num w:numId="15">
    <w:abstractNumId w:val="2"/>
  </w:num>
  <w:num w:numId="16">
    <w:abstractNumId w:val="23"/>
  </w:num>
  <w:num w:numId="17">
    <w:abstractNumId w:val="24"/>
  </w:num>
  <w:num w:numId="18">
    <w:abstractNumId w:val="14"/>
  </w:num>
  <w:num w:numId="19">
    <w:abstractNumId w:val="13"/>
  </w:num>
  <w:num w:numId="20">
    <w:abstractNumId w:val="20"/>
  </w:num>
  <w:num w:numId="21">
    <w:abstractNumId w:val="8"/>
  </w:num>
  <w:num w:numId="22">
    <w:abstractNumId w:val="4"/>
  </w:num>
  <w:num w:numId="23">
    <w:abstractNumId w:val="9"/>
  </w:num>
  <w:num w:numId="24">
    <w:abstractNumId w:val="3"/>
  </w:num>
  <w:num w:numId="2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67C"/>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2B"/>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54AC"/>
    <w:rsid w:val="0079601B"/>
    <w:rsid w:val="007962E1"/>
    <w:rsid w:val="00796589"/>
    <w:rsid w:val="0079663F"/>
    <w:rsid w:val="00796726"/>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4F4"/>
    <w:rsid w:val="007B697F"/>
    <w:rsid w:val="007B6B11"/>
    <w:rsid w:val="007B74C5"/>
    <w:rsid w:val="007B7A2C"/>
    <w:rsid w:val="007C0880"/>
    <w:rsid w:val="007C0BD2"/>
    <w:rsid w:val="007C0CF6"/>
    <w:rsid w:val="007C0F3A"/>
    <w:rsid w:val="007C1065"/>
    <w:rsid w:val="007C1537"/>
    <w:rsid w:val="007C1839"/>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01C"/>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FCA"/>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6D4"/>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4CAA"/>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5B3A"/>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A26"/>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94FFC8-01F0-4589-91DA-E2C1BFE7D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F874733-6B1D-45E9-B274-2B3C0F77A010}">
  <ds:schemaRefs>
    <ds:schemaRef ds:uri="http://schemas.openxmlformats.org/officeDocument/2006/bibliography"/>
  </ds:schemaRefs>
</ds:datastoreItem>
</file>

<file path=customXml/itemProps5.xml><?xml version="1.0" encoding="utf-8"?>
<ds:datastoreItem xmlns:ds="http://schemas.openxmlformats.org/officeDocument/2006/customXml" ds:itemID="{162685E2-D1A3-490D-A59A-FFE0596A3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2522</Words>
  <Characters>11870</Characters>
  <Application>Microsoft Office Word</Application>
  <DocSecurity>0</DocSecurity>
  <Lines>344</Lines>
  <Paragraphs>186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Kim, Jiwoo</cp:lastModifiedBy>
  <cp:revision>4</cp:revision>
  <cp:lastPrinted>2016-11-03T01:40:00Z</cp:lastPrinted>
  <dcterms:created xsi:type="dcterms:W3CDTF">2019-02-15T07:08:00Z</dcterms:created>
  <dcterms:modified xsi:type="dcterms:W3CDTF">2019-04-01T06:27:00Z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2019-04-01 06:27:29Z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